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0CBDB" w14:textId="47FA82D5" w:rsidR="00E90E49" w:rsidRPr="00FB5670" w:rsidRDefault="00E90E49" w:rsidP="00E35559">
      <w:pPr>
        <w:pStyle w:val="3GPPHeader"/>
        <w:spacing w:after="60"/>
        <w:rPr>
          <w:rFonts w:cs="Arial"/>
          <w:sz w:val="32"/>
          <w:szCs w:val="32"/>
        </w:rPr>
      </w:pPr>
      <w:bookmarkStart w:id="0" w:name="_GoBack"/>
      <w:bookmarkEnd w:id="0"/>
      <w:r w:rsidRPr="00FB5670">
        <w:rPr>
          <w:rFonts w:cs="Arial"/>
        </w:rPr>
        <w:t>3GPP TSG-RAN WG</w:t>
      </w:r>
      <w:r w:rsidR="007730BD" w:rsidRPr="00FB5670">
        <w:rPr>
          <w:rFonts w:cs="Arial"/>
        </w:rPr>
        <w:t>2</w:t>
      </w:r>
      <w:r w:rsidRPr="00FB5670">
        <w:rPr>
          <w:rFonts w:cs="Arial"/>
        </w:rPr>
        <w:t xml:space="preserve"> #</w:t>
      </w:r>
      <w:r w:rsidR="00AE3743" w:rsidRPr="00FB5670">
        <w:rPr>
          <w:rFonts w:cs="Arial"/>
        </w:rPr>
        <w:t>9</w:t>
      </w:r>
      <w:r w:rsidR="00C544E1" w:rsidRPr="00FB5670">
        <w:rPr>
          <w:rFonts w:cs="Arial"/>
        </w:rPr>
        <w:t>8</w:t>
      </w:r>
      <w:r w:rsidRPr="00FB5670">
        <w:rPr>
          <w:rFonts w:cs="Arial"/>
        </w:rPr>
        <w:tab/>
      </w:r>
      <w:r w:rsidRPr="00FB5670">
        <w:rPr>
          <w:rFonts w:cs="Arial"/>
          <w:sz w:val="32"/>
          <w:szCs w:val="32"/>
        </w:rPr>
        <w:t xml:space="preserve">Tdoc </w:t>
      </w:r>
      <w:r w:rsidR="00091557" w:rsidRPr="00FB5670">
        <w:rPr>
          <w:rFonts w:cs="Arial"/>
          <w:sz w:val="32"/>
          <w:szCs w:val="32"/>
        </w:rPr>
        <w:t>R2-</w:t>
      </w:r>
      <w:r w:rsidR="005F3025" w:rsidRPr="00FB5670">
        <w:rPr>
          <w:rFonts w:cs="Arial"/>
          <w:sz w:val="32"/>
          <w:szCs w:val="32"/>
        </w:rPr>
        <w:t>1</w:t>
      </w:r>
      <w:r w:rsidR="000039F4" w:rsidRPr="00FB5670">
        <w:rPr>
          <w:rFonts w:cs="Arial"/>
          <w:sz w:val="32"/>
          <w:szCs w:val="32"/>
        </w:rPr>
        <w:t>7</w:t>
      </w:r>
      <w:r w:rsidR="0089578D" w:rsidRPr="00FB5670">
        <w:rPr>
          <w:rFonts w:cs="Arial"/>
          <w:sz w:val="32"/>
          <w:szCs w:val="32"/>
        </w:rPr>
        <w:t>04410</w:t>
      </w:r>
    </w:p>
    <w:p w14:paraId="59B98BD0" w14:textId="77777777" w:rsidR="00E90E49" w:rsidRPr="00FB5670" w:rsidRDefault="00CD21F5" w:rsidP="00311702">
      <w:pPr>
        <w:pStyle w:val="3GPPHeader"/>
        <w:rPr>
          <w:rFonts w:cs="Arial"/>
        </w:rPr>
      </w:pPr>
      <w:r w:rsidRPr="00FB5670">
        <w:rPr>
          <w:rFonts w:cs="Arial"/>
        </w:rPr>
        <w:t>Hangzhou</w:t>
      </w:r>
      <w:r w:rsidR="00AE3743" w:rsidRPr="00FB5670">
        <w:rPr>
          <w:rFonts w:cs="Arial"/>
        </w:rPr>
        <w:t xml:space="preserve">, </w:t>
      </w:r>
      <w:r w:rsidR="00C544E1" w:rsidRPr="00FB5670">
        <w:rPr>
          <w:rFonts w:cs="Arial"/>
        </w:rPr>
        <w:t>P.R. of China</w:t>
      </w:r>
      <w:r w:rsidR="00AE3743" w:rsidRPr="00FB5670">
        <w:rPr>
          <w:rFonts w:cs="Arial"/>
        </w:rPr>
        <w:t xml:space="preserve">, </w:t>
      </w:r>
      <w:r w:rsidR="00C544E1" w:rsidRPr="00FB5670">
        <w:rPr>
          <w:rFonts w:cs="Arial"/>
        </w:rPr>
        <w:t>15</w:t>
      </w:r>
      <w:r w:rsidR="00C544E1" w:rsidRPr="00FB5670">
        <w:rPr>
          <w:rFonts w:cs="Arial"/>
          <w:vertAlign w:val="superscript"/>
        </w:rPr>
        <w:t>th</w:t>
      </w:r>
      <w:r w:rsidR="00C544E1" w:rsidRPr="00FB5670">
        <w:rPr>
          <w:rFonts w:cs="Arial"/>
        </w:rPr>
        <w:t xml:space="preserve"> </w:t>
      </w:r>
      <w:r w:rsidR="00AE3743" w:rsidRPr="00FB5670">
        <w:rPr>
          <w:rFonts w:cs="Arial"/>
        </w:rPr>
        <w:t xml:space="preserve">– </w:t>
      </w:r>
      <w:r w:rsidR="00C544E1" w:rsidRPr="00FB5670">
        <w:rPr>
          <w:rFonts w:cs="Arial"/>
        </w:rPr>
        <w:t>19</w:t>
      </w:r>
      <w:r w:rsidR="00AE3743" w:rsidRPr="00FB5670">
        <w:rPr>
          <w:rFonts w:cs="Arial"/>
          <w:vertAlign w:val="superscript"/>
        </w:rPr>
        <w:t>th</w:t>
      </w:r>
      <w:r w:rsidR="00AE3743" w:rsidRPr="00FB5670">
        <w:rPr>
          <w:rFonts w:cs="Arial"/>
        </w:rPr>
        <w:t xml:space="preserve"> </w:t>
      </w:r>
      <w:r w:rsidR="00C544E1" w:rsidRPr="00FB5670">
        <w:rPr>
          <w:rFonts w:cs="Arial"/>
        </w:rPr>
        <w:t xml:space="preserve">May </w:t>
      </w:r>
      <w:r w:rsidR="00AE3743" w:rsidRPr="00FB5670">
        <w:rPr>
          <w:rFonts w:cs="Arial"/>
        </w:rPr>
        <w:t>2017</w:t>
      </w:r>
    </w:p>
    <w:p w14:paraId="3E35A30C" w14:textId="77777777" w:rsidR="00E90E49" w:rsidRPr="00FB5670" w:rsidRDefault="00E90E49" w:rsidP="00357380">
      <w:pPr>
        <w:pStyle w:val="3GPPHeader"/>
        <w:rPr>
          <w:rFonts w:cs="Arial"/>
        </w:rPr>
      </w:pPr>
    </w:p>
    <w:p w14:paraId="2ABCE032" w14:textId="41BC72F3" w:rsidR="00E90E49" w:rsidRPr="00FB5670" w:rsidRDefault="00E90E49" w:rsidP="00311702">
      <w:pPr>
        <w:pStyle w:val="3GPPHeader"/>
        <w:rPr>
          <w:rFonts w:cs="Arial"/>
          <w:sz w:val="22"/>
        </w:rPr>
      </w:pPr>
      <w:r w:rsidRPr="00FB5670">
        <w:rPr>
          <w:rFonts w:cs="Arial"/>
          <w:sz w:val="22"/>
        </w:rPr>
        <w:t>Agenda Item:</w:t>
      </w:r>
      <w:r w:rsidRPr="00FB5670">
        <w:rPr>
          <w:rFonts w:cs="Arial"/>
          <w:sz w:val="22"/>
        </w:rPr>
        <w:tab/>
      </w:r>
      <w:r w:rsidR="00FD4C6C" w:rsidRPr="00FB5670">
        <w:rPr>
          <w:rFonts w:cs="Arial"/>
          <w:sz w:val="22"/>
        </w:rPr>
        <w:t>10.3.1.8</w:t>
      </w:r>
    </w:p>
    <w:p w14:paraId="2AF1BA07" w14:textId="77777777" w:rsidR="00E90E49" w:rsidRPr="00FB5670" w:rsidRDefault="003D3C45" w:rsidP="00F64C2B">
      <w:pPr>
        <w:pStyle w:val="3GPPHeader"/>
        <w:rPr>
          <w:rFonts w:cs="Arial"/>
          <w:sz w:val="22"/>
        </w:rPr>
      </w:pPr>
      <w:r w:rsidRPr="00FB5670">
        <w:rPr>
          <w:rFonts w:cs="Arial"/>
          <w:sz w:val="22"/>
        </w:rPr>
        <w:t>Source:</w:t>
      </w:r>
      <w:r w:rsidR="00E90E49" w:rsidRPr="00FB5670">
        <w:rPr>
          <w:rFonts w:cs="Arial"/>
          <w:sz w:val="22"/>
        </w:rPr>
        <w:tab/>
      </w:r>
      <w:r w:rsidR="00F64C2B" w:rsidRPr="00FB5670">
        <w:rPr>
          <w:rFonts w:cs="Arial"/>
          <w:sz w:val="22"/>
        </w:rPr>
        <w:t>Ericsson</w:t>
      </w:r>
    </w:p>
    <w:p w14:paraId="167A6C8C" w14:textId="0946824C" w:rsidR="00E90E49" w:rsidRPr="00FB5670" w:rsidRDefault="003D3C45" w:rsidP="00311702">
      <w:pPr>
        <w:pStyle w:val="3GPPHeader"/>
        <w:rPr>
          <w:rFonts w:cs="Arial"/>
          <w:sz w:val="22"/>
        </w:rPr>
      </w:pPr>
      <w:r w:rsidRPr="00FB5670">
        <w:rPr>
          <w:rFonts w:cs="Arial"/>
          <w:sz w:val="22"/>
        </w:rPr>
        <w:t>Title:</w:t>
      </w:r>
      <w:r w:rsidR="00E90E49" w:rsidRPr="00FB5670">
        <w:rPr>
          <w:rFonts w:cs="Arial"/>
          <w:sz w:val="22"/>
        </w:rPr>
        <w:tab/>
      </w:r>
      <w:r w:rsidR="00197403" w:rsidRPr="00FB5670">
        <w:rPr>
          <w:rFonts w:cs="Arial"/>
          <w:sz w:val="22"/>
        </w:rPr>
        <w:t>HARQ configurations in NR</w:t>
      </w:r>
    </w:p>
    <w:p w14:paraId="71A2EDB4" w14:textId="77777777" w:rsidR="00E90E49" w:rsidRPr="00FB5670" w:rsidRDefault="00E90E49" w:rsidP="00D546FF">
      <w:pPr>
        <w:pStyle w:val="3GPPHeader"/>
        <w:rPr>
          <w:rFonts w:cs="Arial"/>
          <w:sz w:val="22"/>
        </w:rPr>
      </w:pPr>
      <w:r w:rsidRPr="00FB5670">
        <w:rPr>
          <w:rFonts w:cs="Arial"/>
          <w:sz w:val="22"/>
        </w:rPr>
        <w:t>Document for:</w:t>
      </w:r>
      <w:r w:rsidRPr="00FB5670">
        <w:rPr>
          <w:rFonts w:cs="Arial"/>
          <w:sz w:val="22"/>
        </w:rPr>
        <w:tab/>
        <w:t>Discussion, Decision</w:t>
      </w:r>
    </w:p>
    <w:p w14:paraId="12861119" w14:textId="77777777" w:rsidR="00E90E49" w:rsidRPr="00FB5670" w:rsidRDefault="00E90E49" w:rsidP="00E90E49">
      <w:pPr>
        <w:rPr>
          <w:rFonts w:cs="Arial"/>
        </w:rPr>
      </w:pPr>
    </w:p>
    <w:p w14:paraId="3C4AA58D" w14:textId="34220231" w:rsidR="00C24345" w:rsidRPr="00FB5670" w:rsidRDefault="00E90E49" w:rsidP="00A2052C">
      <w:pPr>
        <w:pStyle w:val="Heading1"/>
        <w:rPr>
          <w:lang w:val="en-US"/>
        </w:rPr>
      </w:pPr>
      <w:r w:rsidRPr="00FB5670">
        <w:rPr>
          <w:lang w:val="en-US"/>
        </w:rPr>
        <w:t>Introduction</w:t>
      </w:r>
    </w:p>
    <w:p w14:paraId="1A0DA08D" w14:textId="77777777" w:rsidR="00CC169A" w:rsidRPr="00FB5670" w:rsidRDefault="00197403" w:rsidP="00FB5670">
      <w:pPr>
        <w:pStyle w:val="BodyText"/>
      </w:pPr>
      <w:r w:rsidRPr="00FB5670">
        <w:t xml:space="preserve">In NR, one common network </w:t>
      </w:r>
      <w:r w:rsidR="00166FD3" w:rsidRPr="00FB5670">
        <w:t>should be able t</w:t>
      </w:r>
      <w:r w:rsidRPr="00FB5670">
        <w:t>o serve multiple services of deviated QoS requirement</w:t>
      </w:r>
      <w:r w:rsidR="00166FD3" w:rsidRPr="00FB5670">
        <w:t>s</w:t>
      </w:r>
      <w:r w:rsidRPr="00FB5670">
        <w:t>.</w:t>
      </w:r>
      <w:r w:rsidR="003E0210" w:rsidRPr="00FB5670">
        <w:t xml:space="preserve"> HARQ configuration shall be considered to fulfil different delay requirements.</w:t>
      </w:r>
      <w:r w:rsidR="002D401B" w:rsidRPr="00FB5670">
        <w:t xml:space="preserve"> </w:t>
      </w:r>
    </w:p>
    <w:p w14:paraId="5181EA00" w14:textId="186A3521" w:rsidR="00CC169A" w:rsidRPr="00FB5670" w:rsidRDefault="00CC169A" w:rsidP="00FB5670">
      <w:pPr>
        <w:pStyle w:val="BodyText"/>
      </w:pPr>
      <w:r w:rsidRPr="00FB5670">
        <w:t>In RAN1, there is still ongoing discussions regarding the relevant delay parameters for HARQ operation</w:t>
      </w:r>
      <w:r w:rsidR="00DE70C8" w:rsidRPr="00FB5670">
        <w:t xml:space="preserve"> (exemplified in </w:t>
      </w:r>
      <w:r w:rsidR="00DE70C8" w:rsidRPr="00FB5670">
        <w:fldChar w:fldCharType="begin"/>
      </w:r>
      <w:r w:rsidR="00DE70C8" w:rsidRPr="00FB5670">
        <w:instrText xml:space="preserve"> REF _Ref481488690 \h </w:instrText>
      </w:r>
      <w:r w:rsidR="00FB5670" w:rsidRPr="00FB5670">
        <w:instrText xml:space="preserve"> \* MERGEFORMAT </w:instrText>
      </w:r>
      <w:r w:rsidR="00DE70C8" w:rsidRPr="00FB5670">
        <w:fldChar w:fldCharType="separate"/>
      </w:r>
      <w:r w:rsidR="00DE70C8" w:rsidRPr="00FB5670">
        <w:t>Figure 1</w:t>
      </w:r>
      <w:r w:rsidR="00DE70C8" w:rsidRPr="00FB5670">
        <w:fldChar w:fldCharType="end"/>
      </w:r>
      <w:r w:rsidR="00DE70C8" w:rsidRPr="00FB5670">
        <w:t>)</w:t>
      </w:r>
      <w:r w:rsidRPr="00FB5670">
        <w:t>. For instance,</w:t>
      </w:r>
    </w:p>
    <w:p w14:paraId="7FFAE6C6" w14:textId="77777777" w:rsidR="00CC169A" w:rsidRPr="00FB5670" w:rsidRDefault="00CC169A" w:rsidP="00CC169A">
      <w:pPr>
        <w:pStyle w:val="ListParagraph1"/>
        <w:numPr>
          <w:ilvl w:val="0"/>
          <w:numId w:val="23"/>
        </w:numPr>
        <w:spacing w:after="120"/>
        <w:rPr>
          <w:rFonts w:ascii="Arial" w:hAnsi="Arial" w:cs="Arial"/>
          <w:sz w:val="20"/>
          <w:szCs w:val="20"/>
        </w:rPr>
      </w:pPr>
      <w:r w:rsidRPr="00FB5670">
        <w:rPr>
          <w:rFonts w:ascii="Arial" w:hAnsi="Arial" w:cs="Arial"/>
          <w:sz w:val="20"/>
          <w:szCs w:val="20"/>
        </w:rPr>
        <w:t>K0: Delay between DL grant and corresponding DL data (PDSCH) reception</w:t>
      </w:r>
    </w:p>
    <w:p w14:paraId="577445E5" w14:textId="77777777" w:rsidR="00CC169A" w:rsidRPr="00FB5670" w:rsidRDefault="00CC169A" w:rsidP="00CC169A">
      <w:pPr>
        <w:pStyle w:val="ListParagraph1"/>
        <w:numPr>
          <w:ilvl w:val="0"/>
          <w:numId w:val="23"/>
        </w:numPr>
        <w:spacing w:after="120"/>
        <w:rPr>
          <w:rFonts w:ascii="Arial" w:hAnsi="Arial" w:cs="Arial"/>
          <w:sz w:val="20"/>
          <w:szCs w:val="20"/>
        </w:rPr>
      </w:pPr>
      <w:r w:rsidRPr="00FB5670">
        <w:rPr>
          <w:rFonts w:ascii="Arial" w:hAnsi="Arial" w:cs="Arial"/>
          <w:sz w:val="20"/>
          <w:szCs w:val="20"/>
        </w:rPr>
        <w:t>K1: Delay between DL data (PDSCH) reception and corresponding acknowledgement transmission on UL</w:t>
      </w:r>
    </w:p>
    <w:p w14:paraId="4C598D63" w14:textId="77777777" w:rsidR="00CC169A" w:rsidRPr="00FB5670" w:rsidRDefault="00CC169A" w:rsidP="005E45E5">
      <w:pPr>
        <w:pStyle w:val="ListParagraph1"/>
        <w:numPr>
          <w:ilvl w:val="0"/>
          <w:numId w:val="23"/>
        </w:numPr>
        <w:spacing w:after="120"/>
        <w:rPr>
          <w:rFonts w:ascii="Arial" w:hAnsi="Arial" w:cs="Arial"/>
        </w:rPr>
      </w:pPr>
      <w:r w:rsidRPr="00FB5670">
        <w:rPr>
          <w:rFonts w:ascii="Arial" w:hAnsi="Arial" w:cs="Arial"/>
          <w:sz w:val="20"/>
          <w:szCs w:val="20"/>
        </w:rPr>
        <w:t>K2: Delay between UL grant reception in DL and UL data (PUSCH) transmission</w:t>
      </w:r>
    </w:p>
    <w:p w14:paraId="27C4D821" w14:textId="30DD9D19" w:rsidR="00DE70C8" w:rsidRPr="00FB5670" w:rsidRDefault="00CC169A" w:rsidP="00DE70C8">
      <w:pPr>
        <w:pStyle w:val="ListParagraph1"/>
        <w:numPr>
          <w:ilvl w:val="0"/>
          <w:numId w:val="23"/>
        </w:numPr>
        <w:spacing w:after="120"/>
        <w:rPr>
          <w:rFonts w:ascii="Arial" w:hAnsi="Arial" w:cs="Arial"/>
        </w:rPr>
      </w:pPr>
      <w:r w:rsidRPr="00FB5670">
        <w:rPr>
          <w:rFonts w:ascii="Arial" w:hAnsi="Arial" w:cs="Arial"/>
          <w:sz w:val="20"/>
          <w:szCs w:val="20"/>
        </w:rPr>
        <w:t>K3: Delay between ACK/NAK reception in UL and corresponding retransmission of data (PDSCH) on DL</w:t>
      </w:r>
    </w:p>
    <w:p w14:paraId="153F7485" w14:textId="5AEA04C0" w:rsidR="00CC169A" w:rsidRPr="00FB5670" w:rsidRDefault="00C32848" w:rsidP="005E28A8">
      <w:pPr>
        <w:pStyle w:val="Figure"/>
        <w:rPr>
          <w:rFonts w:cs="Arial"/>
        </w:rPr>
      </w:pPr>
      <w:r w:rsidRPr="00FB5670">
        <w:rPr>
          <w:rFonts w:cs="Arial"/>
          <w:noProof/>
          <w:lang w:val="sv-SE"/>
        </w:rPr>
        <w:drawing>
          <wp:inline distT="0" distB="0" distL="0" distR="0" wp14:anchorId="78E523C2" wp14:editId="6D97FC3A">
            <wp:extent cx="4831311" cy="10423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5313" cy="1045393"/>
                    </a:xfrm>
                    <a:prstGeom prst="rect">
                      <a:avLst/>
                    </a:prstGeom>
                    <a:noFill/>
                  </pic:spPr>
                </pic:pic>
              </a:graphicData>
            </a:graphic>
          </wp:inline>
        </w:drawing>
      </w:r>
    </w:p>
    <w:p w14:paraId="5EC53229" w14:textId="432311E5" w:rsidR="00C32848" w:rsidRPr="00FB5670" w:rsidRDefault="00C32848" w:rsidP="005E28A8">
      <w:pPr>
        <w:pStyle w:val="Caption"/>
        <w:rPr>
          <w:rFonts w:cs="Arial"/>
        </w:rPr>
      </w:pPr>
      <w:bookmarkStart w:id="1" w:name="_Ref481488690"/>
      <w:r w:rsidRPr="00FB5670">
        <w:rPr>
          <w:rFonts w:cs="Arial"/>
        </w:rPr>
        <w:t xml:space="preserve">Figure </w:t>
      </w:r>
      <w:r w:rsidRPr="00FB5670">
        <w:rPr>
          <w:rFonts w:cs="Arial"/>
        </w:rPr>
        <w:fldChar w:fldCharType="begin"/>
      </w:r>
      <w:r w:rsidRPr="00FB5670">
        <w:rPr>
          <w:rFonts w:cs="Arial"/>
        </w:rPr>
        <w:instrText xml:space="preserve"> SEQ Figure \* ARABIC </w:instrText>
      </w:r>
      <w:r w:rsidRPr="00FB5670">
        <w:rPr>
          <w:rFonts w:cs="Arial"/>
        </w:rPr>
        <w:fldChar w:fldCharType="separate"/>
      </w:r>
      <w:r w:rsidRPr="00FB5670">
        <w:rPr>
          <w:rFonts w:cs="Arial"/>
        </w:rPr>
        <w:t>1</w:t>
      </w:r>
      <w:r w:rsidRPr="00FB5670">
        <w:rPr>
          <w:rFonts w:cs="Arial"/>
        </w:rPr>
        <w:fldChar w:fldCharType="end"/>
      </w:r>
      <w:bookmarkEnd w:id="1"/>
      <w:r w:rsidRPr="00FB5670">
        <w:rPr>
          <w:rFonts w:cs="Arial"/>
        </w:rPr>
        <w:t xml:space="preserve"> </w:t>
      </w:r>
      <w:r w:rsidR="00DE70C8" w:rsidRPr="00FB5670">
        <w:rPr>
          <w:rFonts w:cs="Arial"/>
        </w:rPr>
        <w:t>Illustration of HARQ delay parameters</w:t>
      </w:r>
    </w:p>
    <w:p w14:paraId="0C4EFC36" w14:textId="54C49971" w:rsidR="003E0210" w:rsidRPr="00FB5670" w:rsidRDefault="002D401B" w:rsidP="00FB5670">
      <w:pPr>
        <w:pStyle w:val="BodyText"/>
      </w:pPr>
      <w:r w:rsidRPr="00FB5670">
        <w:t>The related RAN1 and RAN2 agreements are listed below.</w:t>
      </w:r>
    </w:p>
    <w:p w14:paraId="60E03017" w14:textId="3D84E617" w:rsidR="003E0210" w:rsidRPr="00FB5670" w:rsidRDefault="003E0210" w:rsidP="00FB5670">
      <w:pPr>
        <w:pStyle w:val="BodyText"/>
      </w:pPr>
      <w:r w:rsidRPr="00FB5670">
        <w:t xml:space="preserve">In RAN1-86bis </w:t>
      </w:r>
      <w:r w:rsidRPr="00FB5670">
        <w:fldChar w:fldCharType="begin"/>
      </w:r>
      <w:r w:rsidRPr="00FB5670">
        <w:instrText xml:space="preserve"> REF _Ref468872966 \r \h </w:instrText>
      </w:r>
      <w:r w:rsidR="00FB5670">
        <w:instrText xml:space="preserve"> \* MERGEFORMAT </w:instrText>
      </w:r>
      <w:r w:rsidRPr="00FB5670">
        <w:fldChar w:fldCharType="separate"/>
      </w:r>
      <w:r w:rsidRPr="00FB5670">
        <w:t>[2]</w:t>
      </w:r>
      <w:r w:rsidRPr="00FB5670">
        <w:fldChar w:fldCharType="end"/>
      </w:r>
      <w:r w:rsidRPr="00FB5670">
        <w:t>, there are the following agreements:</w:t>
      </w:r>
    </w:p>
    <w:tbl>
      <w:tblPr>
        <w:tblStyle w:val="TableGrid"/>
        <w:tblW w:w="8925" w:type="dxa"/>
        <w:tblInd w:w="1150" w:type="dxa"/>
        <w:tblLook w:val="04A0" w:firstRow="1" w:lastRow="0" w:firstColumn="1" w:lastColumn="0" w:noHBand="0" w:noVBand="1"/>
      </w:tblPr>
      <w:tblGrid>
        <w:gridCol w:w="8925"/>
      </w:tblGrid>
      <w:tr w:rsidR="003E0210" w:rsidRPr="00AB6A15" w14:paraId="1586112C" w14:textId="77777777" w:rsidTr="00491F58">
        <w:tc>
          <w:tcPr>
            <w:tcW w:w="8925" w:type="dxa"/>
          </w:tcPr>
          <w:p w14:paraId="2915D01E" w14:textId="77777777" w:rsidR="003E0210" w:rsidRPr="00FB5670" w:rsidRDefault="003E0210" w:rsidP="00FB5670">
            <w:pPr>
              <w:pStyle w:val="BodyText"/>
              <w:numPr>
                <w:ilvl w:val="0"/>
                <w:numId w:val="21"/>
              </w:numPr>
            </w:pPr>
            <w:r w:rsidRPr="00FB5670">
              <w:t>Timing relationship between UL assignment and corresponding UL data transmission can be (one or more of, FFS which ones)</w:t>
            </w:r>
          </w:p>
          <w:p w14:paraId="44DDE7C3" w14:textId="77777777" w:rsidR="003E0210" w:rsidRPr="00FB5670" w:rsidRDefault="003E0210" w:rsidP="00FB5670">
            <w:pPr>
              <w:pStyle w:val="BodyText"/>
              <w:numPr>
                <w:ilvl w:val="1"/>
                <w:numId w:val="22"/>
              </w:numPr>
            </w:pPr>
            <w:r w:rsidRPr="00FB5670">
              <w:t>dynamically indicated by L1 signaling (e.g., DCI)</w:t>
            </w:r>
          </w:p>
          <w:p w14:paraId="10110E04" w14:textId="77777777" w:rsidR="003E0210" w:rsidRPr="00FB5670" w:rsidRDefault="003E0210" w:rsidP="00FB5670">
            <w:pPr>
              <w:pStyle w:val="BodyText"/>
              <w:numPr>
                <w:ilvl w:val="1"/>
                <w:numId w:val="22"/>
              </w:numPr>
            </w:pPr>
            <w:r w:rsidRPr="00FB5670">
              <w:t>semi-statically indicated to a UE via higher layer</w:t>
            </w:r>
          </w:p>
          <w:p w14:paraId="795371B0" w14:textId="77777777" w:rsidR="003E0210" w:rsidRPr="00FB5670" w:rsidRDefault="003E0210" w:rsidP="00FB5670">
            <w:pPr>
              <w:pStyle w:val="BodyText"/>
              <w:numPr>
                <w:ilvl w:val="1"/>
                <w:numId w:val="22"/>
              </w:numPr>
              <w:rPr>
                <w:b/>
              </w:rPr>
            </w:pPr>
            <w:r w:rsidRPr="00FB5670">
              <w:t>a combination of indication by higher layers and dynamic L1 signaling (e.g., DCI)</w:t>
            </w:r>
          </w:p>
          <w:p w14:paraId="113D5CA9" w14:textId="77777777" w:rsidR="003E0210" w:rsidRPr="00FB5670" w:rsidRDefault="003E0210" w:rsidP="00FB5670">
            <w:pPr>
              <w:pStyle w:val="BodyText"/>
              <w:numPr>
                <w:ilvl w:val="0"/>
                <w:numId w:val="21"/>
              </w:numPr>
            </w:pPr>
            <w:r w:rsidRPr="00FB5670">
              <w:t>For slot-based scheduling, NR specification should support the following</w:t>
            </w:r>
          </w:p>
          <w:p w14:paraId="7A186C46" w14:textId="77777777" w:rsidR="003E0210" w:rsidRPr="00FB5670" w:rsidRDefault="003E0210" w:rsidP="00FB5670">
            <w:pPr>
              <w:pStyle w:val="BodyText"/>
              <w:numPr>
                <w:ilvl w:val="1"/>
                <w:numId w:val="22"/>
              </w:numPr>
            </w:pPr>
            <w:r w:rsidRPr="00FB5670">
              <w:lastRenderedPageBreak/>
              <w:t>DL data reception in slot N and corresponding acknowledgment in slot N</w:t>
            </w:r>
            <w:r w:rsidRPr="00FB5670">
              <w:rPr>
                <w:highlight w:val="yellow"/>
              </w:rPr>
              <w:t>+K1</w:t>
            </w:r>
          </w:p>
          <w:p w14:paraId="15FEB211" w14:textId="77777777" w:rsidR="003E0210" w:rsidRPr="00FB5670" w:rsidRDefault="003E0210" w:rsidP="00FB5670">
            <w:pPr>
              <w:pStyle w:val="BodyText"/>
              <w:numPr>
                <w:ilvl w:val="2"/>
                <w:numId w:val="22"/>
              </w:numPr>
            </w:pPr>
            <w:r w:rsidRPr="00FB5670">
              <w:t>All UEs should support K1≥1 with exact values for K1 FFS</w:t>
            </w:r>
          </w:p>
          <w:p w14:paraId="6701FABC" w14:textId="77777777" w:rsidR="003E0210" w:rsidRPr="00FB5670" w:rsidRDefault="003E0210" w:rsidP="00FB5670">
            <w:pPr>
              <w:pStyle w:val="BodyText"/>
              <w:numPr>
                <w:ilvl w:val="2"/>
                <w:numId w:val="22"/>
              </w:numPr>
            </w:pPr>
            <w:r w:rsidRPr="00FB5670">
              <w:t>Some UEs may support K1=0 (FFS conditions)</w:t>
            </w:r>
          </w:p>
          <w:p w14:paraId="51FCDFDA" w14:textId="77777777" w:rsidR="003E0210" w:rsidRPr="00FB5670" w:rsidRDefault="003E0210" w:rsidP="00FB5670">
            <w:pPr>
              <w:pStyle w:val="BodyText"/>
              <w:numPr>
                <w:ilvl w:val="1"/>
                <w:numId w:val="22"/>
              </w:numPr>
            </w:pPr>
            <w:r w:rsidRPr="00FB5670">
              <w:t>UL assignment in slot N and corresponding uplink data transmission in slot N+K2</w:t>
            </w:r>
          </w:p>
          <w:p w14:paraId="6D249B10" w14:textId="77777777" w:rsidR="003E0210" w:rsidRPr="00FB5670" w:rsidRDefault="003E0210" w:rsidP="00FB5670">
            <w:pPr>
              <w:pStyle w:val="BodyText"/>
              <w:numPr>
                <w:ilvl w:val="2"/>
                <w:numId w:val="22"/>
              </w:numPr>
            </w:pPr>
            <w:r w:rsidRPr="00FB5670">
              <w:t>All UEs should support K2≥1 with exact values for K2 FFS</w:t>
            </w:r>
          </w:p>
          <w:p w14:paraId="305DB218" w14:textId="77777777" w:rsidR="003E0210" w:rsidRPr="00FB5670" w:rsidRDefault="003E0210" w:rsidP="00FB5670">
            <w:pPr>
              <w:pStyle w:val="BodyText"/>
              <w:numPr>
                <w:ilvl w:val="2"/>
                <w:numId w:val="22"/>
              </w:numPr>
            </w:pPr>
            <w:r w:rsidRPr="00FB5670">
              <w:t>Some UEs may support K2=0 (FFS conditions)</w:t>
            </w:r>
          </w:p>
        </w:tc>
      </w:tr>
    </w:tbl>
    <w:p w14:paraId="534D7F47" w14:textId="77777777" w:rsidR="003E0210" w:rsidRPr="00FB5670" w:rsidRDefault="003E0210" w:rsidP="00FB5670">
      <w:pPr>
        <w:pStyle w:val="BodyText"/>
      </w:pPr>
    </w:p>
    <w:p w14:paraId="5F18ACC5" w14:textId="2E7BD58D" w:rsidR="003E0210" w:rsidRPr="00FB5670" w:rsidRDefault="003E0210" w:rsidP="00FB5670">
      <w:pPr>
        <w:pStyle w:val="BodyText"/>
      </w:pPr>
      <w:r w:rsidRPr="00FB5670">
        <w:t>In RAN1-87</w:t>
      </w:r>
      <w:r w:rsidRPr="00FB5670">
        <w:fldChar w:fldCharType="begin"/>
      </w:r>
      <w:r w:rsidRPr="00FB5670">
        <w:instrText xml:space="preserve"> REF _Ref468872979 \r \h </w:instrText>
      </w:r>
      <w:r w:rsidR="00FB5670">
        <w:instrText xml:space="preserve"> \* MERGEFORMAT </w:instrText>
      </w:r>
      <w:r w:rsidRPr="00FB5670">
        <w:fldChar w:fldCharType="separate"/>
      </w:r>
      <w:r w:rsidRPr="00FB5670">
        <w:t>[3]</w:t>
      </w:r>
      <w:r w:rsidRPr="00FB5670">
        <w:fldChar w:fldCharType="end"/>
      </w:r>
      <w:r w:rsidRPr="00FB5670">
        <w:t>, one agreement to indicate the HARQ feedback timing has been reached:</w:t>
      </w:r>
    </w:p>
    <w:tbl>
      <w:tblPr>
        <w:tblStyle w:val="TableGrid"/>
        <w:tblW w:w="8947" w:type="dxa"/>
        <w:tblInd w:w="1128" w:type="dxa"/>
        <w:tblLook w:val="04A0" w:firstRow="1" w:lastRow="0" w:firstColumn="1" w:lastColumn="0" w:noHBand="0" w:noVBand="1"/>
      </w:tblPr>
      <w:tblGrid>
        <w:gridCol w:w="8947"/>
      </w:tblGrid>
      <w:tr w:rsidR="003E0210" w:rsidRPr="00AB6A15" w14:paraId="02F7AF9E" w14:textId="77777777" w:rsidTr="00491F58">
        <w:tc>
          <w:tcPr>
            <w:tcW w:w="8947" w:type="dxa"/>
          </w:tcPr>
          <w:p w14:paraId="7A2F485A" w14:textId="77777777" w:rsidR="003E0210" w:rsidRPr="00FB5670" w:rsidRDefault="003E0210" w:rsidP="00FB5670">
            <w:pPr>
              <w:pStyle w:val="BodyText"/>
              <w:numPr>
                <w:ilvl w:val="0"/>
                <w:numId w:val="21"/>
              </w:numPr>
            </w:pPr>
            <w:r w:rsidRPr="00FB5670">
              <w:t>It should be possible to dynamically indicate (at least in combination with RRC) the timing between data reception and hybrid-ARQ acknowledgement transmission as part of the DCI</w:t>
            </w:r>
          </w:p>
        </w:tc>
      </w:tr>
    </w:tbl>
    <w:p w14:paraId="3C3D8F42" w14:textId="4BF81ABC" w:rsidR="003E0210" w:rsidRPr="00FB5670" w:rsidRDefault="003E0210" w:rsidP="00197403">
      <w:pPr>
        <w:rPr>
          <w:rFonts w:cs="Arial"/>
        </w:rPr>
      </w:pPr>
    </w:p>
    <w:p w14:paraId="0A24045D" w14:textId="0D7C9761" w:rsidR="002D401B" w:rsidRPr="00FB5670" w:rsidRDefault="002D401B" w:rsidP="00FB5670">
      <w:pPr>
        <w:pStyle w:val="BodyText"/>
      </w:pPr>
      <w:r w:rsidRPr="00FB5670">
        <w:t>From the above agreements, we have the following observations:</w:t>
      </w:r>
    </w:p>
    <w:p w14:paraId="7776283A" w14:textId="77FC38DC" w:rsidR="002D401B" w:rsidRPr="00FB5670" w:rsidRDefault="002D401B" w:rsidP="00FB5670">
      <w:pPr>
        <w:pStyle w:val="Observation"/>
      </w:pPr>
      <w:bookmarkStart w:id="2" w:name="_Toc481144028"/>
      <w:bookmarkStart w:id="3" w:name="_Toc481867546"/>
      <w:r w:rsidRPr="00FB5670">
        <w:t xml:space="preserve">Dynamic HARQ timing is allowed </w:t>
      </w:r>
      <w:r w:rsidR="00ED23C2" w:rsidRPr="00FB5670">
        <w:t>in NR</w:t>
      </w:r>
      <w:bookmarkEnd w:id="2"/>
      <w:r w:rsidR="005E28A8" w:rsidRPr="00FB5670">
        <w:t>.</w:t>
      </w:r>
      <w:bookmarkEnd w:id="3"/>
    </w:p>
    <w:p w14:paraId="4B63E62E" w14:textId="39DE19D0" w:rsidR="003E0210" w:rsidRPr="00FB5670" w:rsidRDefault="00CC169A" w:rsidP="00FB5670">
      <w:pPr>
        <w:pStyle w:val="Observation"/>
      </w:pPr>
      <w:bookmarkStart w:id="4" w:name="_Toc481144029"/>
      <w:bookmarkStart w:id="5" w:name="_Toc481867547"/>
      <w:r w:rsidRPr="00FB5670">
        <w:t xml:space="preserve">Different UEs may have different processing delay capability </w:t>
      </w:r>
      <w:r w:rsidR="00534CDB" w:rsidRPr="00FB5670">
        <w:t>in NR</w:t>
      </w:r>
      <w:bookmarkEnd w:id="4"/>
      <w:r w:rsidR="005E28A8" w:rsidRPr="00FB5670">
        <w:t>.</w:t>
      </w:r>
      <w:bookmarkEnd w:id="5"/>
    </w:p>
    <w:p w14:paraId="19BBF656" w14:textId="2848ACB1" w:rsidR="008B02AF" w:rsidRPr="00FB5670" w:rsidRDefault="004000E8" w:rsidP="008B02AF">
      <w:pPr>
        <w:pStyle w:val="Heading1"/>
        <w:rPr>
          <w:lang w:val="en-US"/>
        </w:rPr>
      </w:pPr>
      <w:bookmarkStart w:id="6" w:name="_Ref178064866"/>
      <w:r w:rsidRPr="00FB5670">
        <w:rPr>
          <w:lang w:val="en-US"/>
        </w:rPr>
        <w:t>Discussion</w:t>
      </w:r>
      <w:bookmarkEnd w:id="6"/>
    </w:p>
    <w:p w14:paraId="0715CEF5" w14:textId="0575F66B" w:rsidR="002D401B" w:rsidRPr="00FB5670" w:rsidRDefault="00CC169A" w:rsidP="00FB5670">
      <w:pPr>
        <w:pStyle w:val="BodyText"/>
      </w:pPr>
      <w:r w:rsidRPr="00FB5670">
        <w:t>For the 4 parameters above, currently it is being discussed in RAN 1 on which parameters shall be dynamically indicated to the UE and the candidate values for the parameters.</w:t>
      </w:r>
      <w:r w:rsidR="000564F6" w:rsidRPr="00FB5670">
        <w:t xml:space="preserve"> Dynamical indication of</w:t>
      </w:r>
      <w:r w:rsidRPr="00FB5670">
        <w:t xml:space="preserve"> </w:t>
      </w:r>
      <w:r w:rsidR="000564F6" w:rsidRPr="00FB5670">
        <w:t>the delay parameters allows more flexibility for scheduling behaviour of the scheduler at the cost of large DCI size. Hence we shall carefully analyse which parameter and its candidate values shall be selected for HARQ operation.</w:t>
      </w:r>
      <w:r w:rsidR="00C97D45" w:rsidRPr="00FB5670">
        <w:t xml:space="preserve"> Below are some examples to illustrates the requirements of different delay parameter settings:</w:t>
      </w:r>
    </w:p>
    <w:p w14:paraId="1AE4771C" w14:textId="5F989897" w:rsidR="00C97D45" w:rsidRPr="00FB5670" w:rsidRDefault="00FB5670" w:rsidP="00FB5670">
      <w:pPr>
        <w:pStyle w:val="B1"/>
      </w:pPr>
      <w:r w:rsidRPr="00FB5670">
        <w:t>-</w:t>
      </w:r>
      <w:r w:rsidRPr="00FB5670">
        <w:tab/>
      </w:r>
      <w:r w:rsidR="00C97D45" w:rsidRPr="00FB5670">
        <w:t>K0=0 should be supported by all UEs similarly as LTE</w:t>
      </w:r>
      <w:r w:rsidR="00006F40" w:rsidRPr="00FB5670">
        <w:t>, which means the PDSCH is transmitted in the same slot as the corresponding PDCCH</w:t>
      </w:r>
      <w:r w:rsidR="00C97D45" w:rsidRPr="00FB5670">
        <w:t xml:space="preserve">. </w:t>
      </w:r>
      <w:r w:rsidR="00404006" w:rsidRPr="00FB5670">
        <w:t xml:space="preserve">In NR, there is also operation bandwidth reconfiguration requirement for a UE. For instance, a UE may be configured to be operated over a subband within a large system bandwidth for UE power saving. However, when the UE requires high data rate, the UE should be reconfigured to be operated in a larger bandwidth, which will generate some delay before the UE can receive data in a larger bandwidth. Hence, </w:t>
      </w:r>
      <w:r w:rsidR="00C97D45" w:rsidRPr="00FB5670">
        <w:t>K0=1 can be useful for e.g. opening up the UE Rx BW.</w:t>
      </w:r>
    </w:p>
    <w:p w14:paraId="4ABB7581" w14:textId="772E0CA1" w:rsidR="00CC169A" w:rsidRPr="00FB5670" w:rsidRDefault="00FB5670" w:rsidP="00FB5670">
      <w:pPr>
        <w:pStyle w:val="B1"/>
      </w:pPr>
      <w:r>
        <w:t>-</w:t>
      </w:r>
      <w:r>
        <w:tab/>
      </w:r>
      <w:r w:rsidR="00331C4B" w:rsidRPr="00FB5670">
        <w:t>For K1 and K2, i</w:t>
      </w:r>
      <w:r w:rsidR="00CC169A" w:rsidRPr="00FB5670">
        <w:t>t is important to have the possibility for ‘same slot’ ACK</w:t>
      </w:r>
      <w:r w:rsidR="00144B50" w:rsidRPr="00FB5670">
        <w:t xml:space="preserve"> for DL data transmission</w:t>
      </w:r>
      <w:r w:rsidR="00CC169A" w:rsidRPr="00FB5670">
        <w:t xml:space="preserve"> and </w:t>
      </w:r>
      <w:r w:rsidR="00144B50" w:rsidRPr="00FB5670">
        <w:t xml:space="preserve">the ‘same slot’ </w:t>
      </w:r>
      <w:r w:rsidR="00CC169A" w:rsidRPr="00FB5670">
        <w:t>grant</w:t>
      </w:r>
      <w:r w:rsidR="00144B50" w:rsidRPr="00FB5670">
        <w:t xml:space="preserve"> for UL data transmission in order to support delay sensitive services</w:t>
      </w:r>
      <w:r w:rsidR="00CC169A" w:rsidRPr="00FB5670">
        <w:t>, i.e. K1=0, K2=0. Some (low-end) UEs may support a minimum of e.g. K1=1 and K2=1; the values should at least be significantly smaller than LTE to get a latency gain. Note that, even if the UE is capable of transmitting d</w:t>
      </w:r>
      <w:r w:rsidR="00144B50" w:rsidRPr="00FB5670">
        <w:t>ata or ACK after K1=1/K2=1, the</w:t>
      </w:r>
      <w:r w:rsidR="00CC169A" w:rsidRPr="00FB5670">
        <w:t>r</w:t>
      </w:r>
      <w:r w:rsidR="00144B50" w:rsidRPr="00FB5670">
        <w:t>e</w:t>
      </w:r>
      <w:r w:rsidR="00CC169A" w:rsidRPr="00FB5670">
        <w:t xml:space="preserve"> might be reasons, e.g. coexistence with TD-LTE, when the NW wants the ACK at a later time instant.</w:t>
      </w:r>
    </w:p>
    <w:p w14:paraId="32914812" w14:textId="19353B7D" w:rsidR="00144B50" w:rsidRPr="00FB5670" w:rsidRDefault="00FB5670" w:rsidP="00FB5670">
      <w:pPr>
        <w:pStyle w:val="B1"/>
      </w:pPr>
      <w:r>
        <w:t>-</w:t>
      </w:r>
      <w:r>
        <w:tab/>
      </w:r>
      <w:r w:rsidR="00144B50" w:rsidRPr="00FB5670">
        <w:t xml:space="preserve">For K3, it is a pure implementation issue. The network can schedule the HARQ feedback </w:t>
      </w:r>
      <w:r w:rsidR="00725DD1" w:rsidRPr="00FB5670">
        <w:t xml:space="preserve">for DL data transmission </w:t>
      </w:r>
      <w:r w:rsidR="00144B50" w:rsidRPr="00FB5670">
        <w:t>when necessary. There is not clear benefit to dynamic</w:t>
      </w:r>
      <w:r w:rsidR="00725DD1" w:rsidRPr="00FB5670">
        <w:t>ally</w:t>
      </w:r>
      <w:r w:rsidR="00144B50" w:rsidRPr="00FB5670">
        <w:t xml:space="preserve"> indicate the timing for HARQ feedback in DL assignment for DL data transmission at the cost of large DCI size.</w:t>
      </w:r>
    </w:p>
    <w:p w14:paraId="7B9EDCF1" w14:textId="5FBC49DA" w:rsidR="00BB702E" w:rsidRPr="00FB5670" w:rsidRDefault="00BB702E" w:rsidP="00FB5670">
      <w:pPr>
        <w:pStyle w:val="BodyText"/>
        <w:rPr>
          <w:lang w:eastAsia="ja-JP"/>
        </w:rPr>
      </w:pPr>
      <w:r w:rsidRPr="00FB5670">
        <w:rPr>
          <w:lang w:eastAsia="ja-JP"/>
        </w:rPr>
        <w:fldChar w:fldCharType="begin"/>
      </w:r>
      <w:r w:rsidRPr="00FB5670">
        <w:rPr>
          <w:lang w:eastAsia="ja-JP"/>
        </w:rPr>
        <w:instrText xml:space="preserve"> REF _Ref481064876 \h </w:instrText>
      </w:r>
      <w:r w:rsidR="00FB5670">
        <w:rPr>
          <w:lang w:eastAsia="ja-JP"/>
        </w:rPr>
        <w:instrText xml:space="preserve"> \* MERGEFORMAT </w:instrText>
      </w:r>
      <w:r w:rsidRPr="00FB5670">
        <w:rPr>
          <w:lang w:eastAsia="ja-JP"/>
        </w:rPr>
      </w:r>
      <w:r w:rsidRPr="00FB5670">
        <w:rPr>
          <w:lang w:eastAsia="ja-JP"/>
        </w:rPr>
        <w:fldChar w:fldCharType="separate"/>
      </w:r>
      <w:r w:rsidRPr="00FB5670">
        <w:t>Figure 1</w:t>
      </w:r>
      <w:r w:rsidRPr="00FB5670">
        <w:rPr>
          <w:lang w:eastAsia="ja-JP"/>
        </w:rPr>
        <w:fldChar w:fldCharType="end"/>
      </w:r>
      <w:r w:rsidRPr="00FB5670">
        <w:rPr>
          <w:lang w:eastAsia="ja-JP"/>
        </w:rPr>
        <w:t xml:space="preserve"> below show 4 different cases for HARQ operations. The corresponding values of relevant HARQ delay parameters of corresponding data transmissions are summarized into the table in the figure.</w:t>
      </w:r>
    </w:p>
    <w:p w14:paraId="66985635" w14:textId="40EB535E" w:rsidR="004B37CE" w:rsidRPr="00FB5670" w:rsidRDefault="004B37CE" w:rsidP="00FB5670">
      <w:pPr>
        <w:pStyle w:val="Figure"/>
        <w:rPr>
          <w:lang w:eastAsia="ja-JP"/>
        </w:rPr>
      </w:pPr>
      <w:r w:rsidRPr="00FB5670">
        <w:rPr>
          <w:noProof/>
          <w:lang w:val="sv-SE"/>
        </w:rPr>
        <w:lastRenderedPageBreak/>
        <w:drawing>
          <wp:inline distT="0" distB="0" distL="0" distR="0" wp14:anchorId="1EEA07B4" wp14:editId="5AA53EF9">
            <wp:extent cx="6120765" cy="48028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802886"/>
                    </a:xfrm>
                    <a:prstGeom prst="rect">
                      <a:avLst/>
                    </a:prstGeom>
                    <a:noFill/>
                  </pic:spPr>
                </pic:pic>
              </a:graphicData>
            </a:graphic>
          </wp:inline>
        </w:drawing>
      </w:r>
    </w:p>
    <w:p w14:paraId="0096FE99" w14:textId="73EC1172" w:rsidR="004B37CE" w:rsidRPr="005E2CDB" w:rsidRDefault="004B37CE" w:rsidP="00FB5670">
      <w:pPr>
        <w:pStyle w:val="Caption"/>
      </w:pPr>
      <w:bookmarkStart w:id="7" w:name="_Ref481064876"/>
      <w:r w:rsidRPr="005E2CDB">
        <w:t xml:space="preserve">Figure </w:t>
      </w:r>
      <w:r w:rsidRPr="00FB5670">
        <w:fldChar w:fldCharType="begin"/>
      </w:r>
      <w:r w:rsidRPr="005E2CDB">
        <w:instrText xml:space="preserve"> SEQ Figure \* ARABIC </w:instrText>
      </w:r>
      <w:r w:rsidRPr="00FB5670">
        <w:fldChar w:fldCharType="separate"/>
      </w:r>
      <w:r w:rsidR="00C32848" w:rsidRPr="005E2CDB">
        <w:t>2</w:t>
      </w:r>
      <w:r w:rsidRPr="00FB5670">
        <w:fldChar w:fldCharType="end"/>
      </w:r>
      <w:bookmarkEnd w:id="7"/>
      <w:r w:rsidRPr="005E2CDB">
        <w:t xml:space="preserve"> HARQ delay parameter setting in HARQ operation</w:t>
      </w:r>
    </w:p>
    <w:p w14:paraId="77B2F01D" w14:textId="1D19392B" w:rsidR="00251B6B" w:rsidRPr="00FB5670" w:rsidRDefault="007E7FED" w:rsidP="00FB5670">
      <w:pPr>
        <w:pStyle w:val="Observation"/>
      </w:pPr>
      <w:bookmarkStart w:id="8" w:name="_Toc481144030"/>
      <w:bookmarkStart w:id="9" w:name="_Toc481867548"/>
      <w:r w:rsidRPr="00FB5670">
        <w:t xml:space="preserve">It is </w:t>
      </w:r>
      <w:r w:rsidR="00326469" w:rsidRPr="00FB5670">
        <w:t>beneficial</w:t>
      </w:r>
      <w:r w:rsidRPr="00FB5670">
        <w:t xml:space="preserve"> to allow HARQ </w:t>
      </w:r>
      <w:r w:rsidR="00326469" w:rsidRPr="00FB5670">
        <w:t>operation with different delay</w:t>
      </w:r>
      <w:r w:rsidR="00EA2102" w:rsidRPr="00FB5670">
        <w:t xml:space="preserve"> setting</w:t>
      </w:r>
      <w:r w:rsidR="00326469" w:rsidRPr="00FB5670">
        <w:t>s.</w:t>
      </w:r>
      <w:bookmarkEnd w:id="8"/>
      <w:bookmarkEnd w:id="9"/>
    </w:p>
    <w:p w14:paraId="6B8E79F8" w14:textId="65F17635" w:rsidR="00BB702E" w:rsidRPr="00FB5670" w:rsidRDefault="00BB702E" w:rsidP="00FB5670">
      <w:pPr>
        <w:pStyle w:val="Observation"/>
      </w:pPr>
      <w:bookmarkStart w:id="10" w:name="_Toc481144031"/>
      <w:bookmarkStart w:id="11" w:name="_Toc481867549"/>
      <w:r w:rsidRPr="00FB5670">
        <w:t>It is not necessary to configure K3 with explicit signalling.</w:t>
      </w:r>
      <w:bookmarkEnd w:id="10"/>
      <w:bookmarkEnd w:id="11"/>
    </w:p>
    <w:p w14:paraId="7667C435" w14:textId="04DB2271" w:rsidR="007E7FED" w:rsidRPr="00FB5670" w:rsidRDefault="00BB702E" w:rsidP="00FB5670">
      <w:pPr>
        <w:pStyle w:val="BodyText"/>
      </w:pPr>
      <w:r w:rsidRPr="00FB5670">
        <w:t>From</w:t>
      </w:r>
      <w:r w:rsidR="007E7FED" w:rsidRPr="00FB5670">
        <w:t xml:space="preserve"> above discussions</w:t>
      </w:r>
      <w:r w:rsidR="00326469" w:rsidRPr="00FB5670">
        <w:t>, it can be concluded that uniform delay predefinition for HARQ operation in LTE cannot be reused in NR due to various requirements of either latency requirement of service or radio performance improvements (e.g. spectrum efficiency, UE power saving etc). A set of candidate values for some parameter shall be identified so that RRC can configures to candidate values for a UE according to the requirements of service latency and/or radio performance.</w:t>
      </w:r>
      <w:r w:rsidR="00CB64F5" w:rsidRPr="00FB5670">
        <w:t xml:space="preserve"> </w:t>
      </w:r>
    </w:p>
    <w:p w14:paraId="2BC2AF9E" w14:textId="12D020F1" w:rsidR="002312D1" w:rsidRPr="00FB5670" w:rsidRDefault="002312D1" w:rsidP="002312D1">
      <w:pPr>
        <w:pStyle w:val="Proposal"/>
        <w:rPr>
          <w:rFonts w:cs="Arial"/>
        </w:rPr>
      </w:pPr>
      <w:bookmarkStart w:id="12" w:name="_Toc481678355"/>
      <w:bookmarkStart w:id="13" w:name="_Toc481867550"/>
      <w:bookmarkStart w:id="14" w:name="_Toc481144062"/>
      <w:bookmarkStart w:id="15" w:name="_Toc481674484"/>
      <w:r w:rsidRPr="00FB5670">
        <w:rPr>
          <w:rFonts w:cs="Arial"/>
        </w:rPr>
        <w:t>RRC is used to configure a set of values for each HARQ delay parameter (K0, K1, K2), details FFS.</w:t>
      </w:r>
      <w:bookmarkEnd w:id="12"/>
      <w:bookmarkEnd w:id="13"/>
      <w:r w:rsidRPr="00FB5670">
        <w:rPr>
          <w:rFonts w:cs="Arial"/>
        </w:rPr>
        <w:t xml:space="preserve"> </w:t>
      </w:r>
    </w:p>
    <w:p w14:paraId="5031FB24" w14:textId="44E30369" w:rsidR="003742AC" w:rsidRPr="00FB5670" w:rsidRDefault="002312D1" w:rsidP="00FB5670">
      <w:pPr>
        <w:pStyle w:val="BodyText"/>
      </w:pPr>
      <w:r w:rsidRPr="00FB5670">
        <w:t xml:space="preserve">The set of values </w:t>
      </w:r>
      <w:r w:rsidR="001421D3" w:rsidRPr="00FB5670">
        <w:t xml:space="preserve">for one HARQ delay parameter </w:t>
      </w:r>
      <w:r w:rsidRPr="00FB5670">
        <w:t>are regarded as candidate value</w:t>
      </w:r>
      <w:r w:rsidR="00D163E5" w:rsidRPr="00FB5670">
        <w:t>s that</w:t>
      </w:r>
      <w:r w:rsidRPr="00FB5670">
        <w:t xml:space="preserve"> can be dynamically selected at scheduling. The exact values </w:t>
      </w:r>
      <w:r w:rsidR="0027124C" w:rsidRPr="00FB5670">
        <w:t xml:space="preserve">that are configurable </w:t>
      </w:r>
      <w:r w:rsidRPr="00FB5670">
        <w:t xml:space="preserve">for each HARQ delay parameter and the control signal design to indicate the selected value </w:t>
      </w:r>
      <w:r w:rsidR="0027124C" w:rsidRPr="00FB5670">
        <w:t xml:space="preserve">from the configured ones </w:t>
      </w:r>
      <w:r w:rsidR="00B377EC" w:rsidRPr="00FB5670">
        <w:t xml:space="preserve">for a HARQ delay parameter </w:t>
      </w:r>
      <w:r w:rsidRPr="00FB5670">
        <w:t xml:space="preserve">are </w:t>
      </w:r>
      <w:r w:rsidR="00D163E5" w:rsidRPr="00FB5670">
        <w:t xml:space="preserve">to be </w:t>
      </w:r>
      <w:r w:rsidRPr="00FB5670">
        <w:t>discussed in RAN1.</w:t>
      </w:r>
      <w:bookmarkEnd w:id="14"/>
      <w:bookmarkEnd w:id="15"/>
    </w:p>
    <w:p w14:paraId="287C8273" w14:textId="77777777" w:rsidR="00C01F33" w:rsidRPr="00FB5670" w:rsidRDefault="00C01F33" w:rsidP="00CE0424">
      <w:pPr>
        <w:pStyle w:val="Heading1"/>
        <w:rPr>
          <w:lang w:val="en-US"/>
        </w:rPr>
      </w:pPr>
      <w:r w:rsidRPr="00FB5670">
        <w:rPr>
          <w:lang w:val="en-US"/>
        </w:rPr>
        <w:t>Conclusion</w:t>
      </w:r>
    </w:p>
    <w:p w14:paraId="57DA8673" w14:textId="556A22E9" w:rsidR="005E28A8" w:rsidRPr="00FB5670" w:rsidRDefault="008E065E" w:rsidP="00FB5670">
      <w:pPr>
        <w:pStyle w:val="BodyText"/>
      </w:pPr>
      <w:r w:rsidRPr="00FB5670">
        <w:t xml:space="preserve">In section </w:t>
      </w:r>
      <w:r w:rsidRPr="00FB5670">
        <w:rPr>
          <w:highlight w:val="cyan"/>
        </w:rPr>
        <w:fldChar w:fldCharType="begin"/>
      </w:r>
      <w:r w:rsidRPr="00FB5670">
        <w:instrText xml:space="preserve"> REF _Ref178064866 \r \h </w:instrText>
      </w:r>
      <w:r w:rsidR="00FB5670">
        <w:rPr>
          <w:highlight w:val="cyan"/>
        </w:rPr>
        <w:instrText xml:space="preserve"> \* MERGEFORMAT </w:instrText>
      </w:r>
      <w:r w:rsidRPr="00FB5670">
        <w:rPr>
          <w:highlight w:val="cyan"/>
        </w:rPr>
      </w:r>
      <w:r w:rsidRPr="00FB5670">
        <w:rPr>
          <w:highlight w:val="cyan"/>
        </w:rPr>
        <w:fldChar w:fldCharType="separate"/>
      </w:r>
      <w:r w:rsidR="00CD21F5" w:rsidRPr="00FB5670">
        <w:t>2</w:t>
      </w:r>
      <w:r w:rsidRPr="00FB5670">
        <w:rPr>
          <w:highlight w:val="cyan"/>
        </w:rPr>
        <w:fldChar w:fldCharType="end"/>
      </w:r>
      <w:r w:rsidRPr="00FB5670">
        <w:t xml:space="preserve"> we made the following observations:</w:t>
      </w:r>
    </w:p>
    <w:sdt>
      <w:sdtPr>
        <w:rPr>
          <w:rFonts w:eastAsiaTheme="minorEastAsia" w:cs="Arial"/>
          <w:b w:val="0"/>
          <w:noProof w:val="0"/>
          <w:szCs w:val="20"/>
          <w:lang w:val="en-GB"/>
        </w:rPr>
        <w:id w:val="1771423664"/>
        <w:docPartObj>
          <w:docPartGallery w:val="Table of Contents"/>
          <w:docPartUnique/>
        </w:docPartObj>
      </w:sdtPr>
      <w:sdtEndPr>
        <w:rPr>
          <w:szCs w:val="22"/>
          <w:lang w:val="en-US"/>
        </w:rPr>
      </w:sdtEndPr>
      <w:sdtContent>
        <w:p w14:paraId="4B89F90E" w14:textId="77777777" w:rsidR="00B20736" w:rsidRDefault="005E28A8">
          <w:pPr>
            <w:pStyle w:val="TOC1"/>
            <w:rPr>
              <w:rFonts w:asciiTheme="minorHAnsi" w:eastAsiaTheme="minorEastAsia" w:hAnsiTheme="minorHAnsi" w:cstheme="minorBidi"/>
              <w:b w:val="0"/>
              <w:sz w:val="22"/>
              <w:lang w:val="sv-SE"/>
            </w:rPr>
          </w:pPr>
          <w:r w:rsidRPr="00FB5670">
            <w:rPr>
              <w:rFonts w:cs="Arial"/>
              <w:b w:val="0"/>
              <w:noProof w:val="0"/>
              <w:szCs w:val="20"/>
              <w:lang w:val="en-GB"/>
            </w:rPr>
            <w:fldChar w:fldCharType="begin"/>
          </w:r>
          <w:r w:rsidRPr="00FB5670">
            <w:rPr>
              <w:rFonts w:cs="Arial"/>
              <w:b w:val="0"/>
              <w:noProof w:val="0"/>
              <w:szCs w:val="20"/>
              <w:lang w:val="en-GB"/>
            </w:rPr>
            <w:instrText xml:space="preserve"> TOC \n \h \z \t "Observation;1" </w:instrText>
          </w:r>
          <w:r w:rsidRPr="00FB5670">
            <w:rPr>
              <w:rFonts w:cs="Arial"/>
              <w:b w:val="0"/>
              <w:noProof w:val="0"/>
              <w:szCs w:val="20"/>
              <w:lang w:val="en-GB"/>
            </w:rPr>
            <w:fldChar w:fldCharType="separate"/>
          </w:r>
          <w:hyperlink w:anchor="_Toc481867546" w:history="1">
            <w:r w:rsidR="00B20736" w:rsidRPr="003E7435">
              <w:rPr>
                <w:rStyle w:val="Hyperlink"/>
              </w:rPr>
              <w:t>Observation 1</w:t>
            </w:r>
            <w:r w:rsidR="00B20736">
              <w:rPr>
                <w:rFonts w:asciiTheme="minorHAnsi" w:eastAsiaTheme="minorEastAsia" w:hAnsiTheme="minorHAnsi" w:cstheme="minorBidi"/>
                <w:b w:val="0"/>
                <w:sz w:val="22"/>
                <w:lang w:val="sv-SE"/>
              </w:rPr>
              <w:tab/>
            </w:r>
            <w:r w:rsidR="00B20736" w:rsidRPr="003E7435">
              <w:rPr>
                <w:rStyle w:val="Hyperlink"/>
              </w:rPr>
              <w:t>Dynamic HARQ timing is allowed in NR.</w:t>
            </w:r>
          </w:hyperlink>
        </w:p>
        <w:p w14:paraId="0724720B" w14:textId="77777777" w:rsidR="00B20736" w:rsidRDefault="005457FE">
          <w:pPr>
            <w:pStyle w:val="TOC1"/>
            <w:rPr>
              <w:rFonts w:asciiTheme="minorHAnsi" w:eastAsiaTheme="minorEastAsia" w:hAnsiTheme="minorHAnsi" w:cstheme="minorBidi"/>
              <w:b w:val="0"/>
              <w:sz w:val="22"/>
              <w:lang w:val="sv-SE"/>
            </w:rPr>
          </w:pPr>
          <w:hyperlink w:anchor="_Toc481867547" w:history="1">
            <w:r w:rsidR="00B20736" w:rsidRPr="003E7435">
              <w:rPr>
                <w:rStyle w:val="Hyperlink"/>
              </w:rPr>
              <w:t>Observation 2</w:t>
            </w:r>
            <w:r w:rsidR="00B20736">
              <w:rPr>
                <w:rFonts w:asciiTheme="minorHAnsi" w:eastAsiaTheme="minorEastAsia" w:hAnsiTheme="minorHAnsi" w:cstheme="minorBidi"/>
                <w:b w:val="0"/>
                <w:sz w:val="22"/>
                <w:lang w:val="sv-SE"/>
              </w:rPr>
              <w:tab/>
            </w:r>
            <w:r w:rsidR="00B20736" w:rsidRPr="003E7435">
              <w:rPr>
                <w:rStyle w:val="Hyperlink"/>
              </w:rPr>
              <w:t>Different UEs may have different processing delay capability in NR.</w:t>
            </w:r>
          </w:hyperlink>
        </w:p>
        <w:p w14:paraId="1C37CF50" w14:textId="77777777" w:rsidR="00B20736" w:rsidRDefault="005457FE">
          <w:pPr>
            <w:pStyle w:val="TOC1"/>
            <w:rPr>
              <w:rFonts w:asciiTheme="minorHAnsi" w:eastAsiaTheme="minorEastAsia" w:hAnsiTheme="minorHAnsi" w:cstheme="minorBidi"/>
              <w:b w:val="0"/>
              <w:sz w:val="22"/>
              <w:lang w:val="sv-SE"/>
            </w:rPr>
          </w:pPr>
          <w:hyperlink w:anchor="_Toc481867548" w:history="1">
            <w:r w:rsidR="00B20736" w:rsidRPr="003E7435">
              <w:rPr>
                <w:rStyle w:val="Hyperlink"/>
              </w:rPr>
              <w:t>Observation 3</w:t>
            </w:r>
            <w:r w:rsidR="00B20736">
              <w:rPr>
                <w:rFonts w:asciiTheme="minorHAnsi" w:eastAsiaTheme="minorEastAsia" w:hAnsiTheme="minorHAnsi" w:cstheme="minorBidi"/>
                <w:b w:val="0"/>
                <w:sz w:val="22"/>
                <w:lang w:val="sv-SE"/>
              </w:rPr>
              <w:tab/>
            </w:r>
            <w:r w:rsidR="00B20736" w:rsidRPr="003E7435">
              <w:rPr>
                <w:rStyle w:val="Hyperlink"/>
              </w:rPr>
              <w:t>It is beneficial to allow HARQ operation with different delay settings.</w:t>
            </w:r>
          </w:hyperlink>
        </w:p>
        <w:p w14:paraId="2418F633" w14:textId="77777777" w:rsidR="00B20736" w:rsidRDefault="005457FE">
          <w:pPr>
            <w:pStyle w:val="TOC1"/>
            <w:rPr>
              <w:rFonts w:asciiTheme="minorHAnsi" w:eastAsiaTheme="minorEastAsia" w:hAnsiTheme="minorHAnsi" w:cstheme="minorBidi"/>
              <w:b w:val="0"/>
              <w:sz w:val="22"/>
              <w:lang w:val="sv-SE"/>
            </w:rPr>
          </w:pPr>
          <w:hyperlink w:anchor="_Toc481867549" w:history="1">
            <w:r w:rsidR="00B20736" w:rsidRPr="003E7435">
              <w:rPr>
                <w:rStyle w:val="Hyperlink"/>
              </w:rPr>
              <w:t>Observation 4</w:t>
            </w:r>
            <w:r w:rsidR="00B20736">
              <w:rPr>
                <w:rFonts w:asciiTheme="minorHAnsi" w:eastAsiaTheme="minorEastAsia" w:hAnsiTheme="minorHAnsi" w:cstheme="minorBidi"/>
                <w:b w:val="0"/>
                <w:sz w:val="22"/>
                <w:lang w:val="sv-SE"/>
              </w:rPr>
              <w:tab/>
            </w:r>
            <w:r w:rsidR="00B20736" w:rsidRPr="003E7435">
              <w:rPr>
                <w:rStyle w:val="Hyperlink"/>
              </w:rPr>
              <w:t>It is not necessary to configure K3 with explicit signalling.</w:t>
            </w:r>
          </w:hyperlink>
        </w:p>
        <w:p w14:paraId="7A7EB290" w14:textId="3401FE6A" w:rsidR="005E28A8" w:rsidRPr="00FB5670" w:rsidRDefault="005E28A8" w:rsidP="00FB5670">
          <w:pPr>
            <w:pStyle w:val="BodyText"/>
            <w:rPr>
              <w:noProof/>
            </w:rPr>
          </w:pPr>
          <w:r w:rsidRPr="00FB5670">
            <w:rPr>
              <w:szCs w:val="20"/>
              <w:lang w:val="en-GB"/>
            </w:rPr>
            <w:fldChar w:fldCharType="end"/>
          </w:r>
        </w:p>
      </w:sdtContent>
    </w:sdt>
    <w:p w14:paraId="0C5F5DD9" w14:textId="63CA2201" w:rsidR="002312D1" w:rsidRPr="00FB5670" w:rsidRDefault="008E065E" w:rsidP="00FB5670">
      <w:pPr>
        <w:pStyle w:val="BodyText"/>
      </w:pPr>
      <w:r w:rsidRPr="00FB5670">
        <w:t xml:space="preserve">Based on the discussion in section </w:t>
      </w:r>
      <w:r w:rsidRPr="00FB5670">
        <w:rPr>
          <w:highlight w:val="cyan"/>
        </w:rPr>
        <w:fldChar w:fldCharType="begin"/>
      </w:r>
      <w:r w:rsidRPr="00FB5670">
        <w:instrText xml:space="preserve"> REF _Ref178064866 \r \h </w:instrText>
      </w:r>
      <w:r w:rsidR="00FB5670">
        <w:rPr>
          <w:highlight w:val="cyan"/>
        </w:rPr>
        <w:instrText xml:space="preserve"> \* MERGEFORMAT </w:instrText>
      </w:r>
      <w:r w:rsidRPr="00FB5670">
        <w:rPr>
          <w:highlight w:val="cyan"/>
        </w:rPr>
      </w:r>
      <w:r w:rsidRPr="00FB5670">
        <w:rPr>
          <w:highlight w:val="cyan"/>
        </w:rPr>
        <w:fldChar w:fldCharType="separate"/>
      </w:r>
      <w:r w:rsidR="00CD21F5" w:rsidRPr="00FB5670">
        <w:t>2</w:t>
      </w:r>
      <w:r w:rsidRPr="00FB5670">
        <w:rPr>
          <w:highlight w:val="cyan"/>
        </w:rPr>
        <w:fldChar w:fldCharType="end"/>
      </w:r>
      <w:r w:rsidRPr="00FB5670">
        <w:t xml:space="preserve"> we propose the following:</w:t>
      </w:r>
    </w:p>
    <w:sdt>
      <w:sdtPr>
        <w:rPr>
          <w:rFonts w:eastAsiaTheme="minorEastAsia" w:cs="Arial"/>
          <w:b w:val="0"/>
          <w:noProof w:val="0"/>
          <w:szCs w:val="20"/>
          <w:lang w:val="en-GB"/>
        </w:rPr>
        <w:id w:val="498628099"/>
        <w:docPartObj>
          <w:docPartGallery w:val="Table of Contents"/>
          <w:docPartUnique/>
        </w:docPartObj>
      </w:sdtPr>
      <w:sdtEndPr>
        <w:rPr>
          <w:szCs w:val="22"/>
          <w:lang w:val="en-US"/>
        </w:rPr>
      </w:sdtEndPr>
      <w:sdtContent>
        <w:p w14:paraId="0B4321A0" w14:textId="77777777" w:rsidR="00B20736" w:rsidRDefault="005E28A8">
          <w:pPr>
            <w:pStyle w:val="TOC1"/>
            <w:rPr>
              <w:rFonts w:asciiTheme="minorHAnsi" w:eastAsiaTheme="minorEastAsia" w:hAnsiTheme="minorHAnsi" w:cstheme="minorBidi"/>
              <w:b w:val="0"/>
              <w:sz w:val="22"/>
              <w:lang w:val="sv-SE"/>
            </w:rPr>
          </w:pPr>
          <w:r w:rsidRPr="00FB5670">
            <w:rPr>
              <w:rFonts w:cs="Arial"/>
              <w:b w:val="0"/>
              <w:noProof w:val="0"/>
              <w:szCs w:val="20"/>
              <w:lang w:val="en-GB"/>
            </w:rPr>
            <w:fldChar w:fldCharType="begin"/>
          </w:r>
          <w:r w:rsidRPr="00FB5670">
            <w:rPr>
              <w:rFonts w:cs="Arial"/>
              <w:b w:val="0"/>
              <w:noProof w:val="0"/>
              <w:szCs w:val="20"/>
              <w:lang w:val="en-GB"/>
            </w:rPr>
            <w:instrText xml:space="preserve"> TOC \n \h \z \t "Proposal;1" </w:instrText>
          </w:r>
          <w:r w:rsidRPr="00FB5670">
            <w:rPr>
              <w:rFonts w:cs="Arial"/>
              <w:b w:val="0"/>
              <w:noProof w:val="0"/>
              <w:szCs w:val="20"/>
              <w:lang w:val="en-GB"/>
            </w:rPr>
            <w:fldChar w:fldCharType="separate"/>
          </w:r>
          <w:hyperlink w:anchor="_Toc481867550" w:history="1">
            <w:r w:rsidR="00B20736" w:rsidRPr="00BF1E46">
              <w:rPr>
                <w:rStyle w:val="Hyperlink"/>
                <w:rFonts w:cs="Arial"/>
              </w:rPr>
              <w:t>Proposal 1</w:t>
            </w:r>
            <w:r w:rsidR="00B20736">
              <w:rPr>
                <w:rFonts w:asciiTheme="minorHAnsi" w:eastAsiaTheme="minorEastAsia" w:hAnsiTheme="minorHAnsi" w:cstheme="minorBidi"/>
                <w:b w:val="0"/>
                <w:sz w:val="22"/>
                <w:lang w:val="sv-SE"/>
              </w:rPr>
              <w:tab/>
            </w:r>
            <w:r w:rsidR="00B20736" w:rsidRPr="00BF1E46">
              <w:rPr>
                <w:rStyle w:val="Hyperlink"/>
                <w:rFonts w:cs="Arial"/>
              </w:rPr>
              <w:t>RRC is used to configure a set of values for each HARQ delay parameter (K0, K1, K2), details FFS.</w:t>
            </w:r>
          </w:hyperlink>
        </w:p>
        <w:p w14:paraId="5688CA07" w14:textId="0CB4B2FC" w:rsidR="005E28A8" w:rsidRPr="00FB5670" w:rsidRDefault="005E28A8" w:rsidP="00FB5670">
          <w:pPr>
            <w:pStyle w:val="BodyText"/>
          </w:pPr>
          <w:r w:rsidRPr="00FB5670">
            <w:rPr>
              <w:szCs w:val="20"/>
            </w:rPr>
            <w:fldChar w:fldCharType="end"/>
          </w:r>
        </w:p>
      </w:sdtContent>
    </w:sdt>
    <w:p w14:paraId="19D64DE7" w14:textId="77777777" w:rsidR="003A7EF3" w:rsidRPr="00FB5670" w:rsidRDefault="003A7EF3" w:rsidP="00FB5670">
      <w:pPr>
        <w:pStyle w:val="BodyText"/>
      </w:pPr>
      <w:bookmarkStart w:id="16" w:name="_In-sequence_SDU_delivery"/>
      <w:bookmarkEnd w:id="16"/>
    </w:p>
    <w:sectPr w:rsidR="003A7EF3" w:rsidRPr="00FB56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7E7A4" w14:textId="77777777" w:rsidR="005457FE" w:rsidRDefault="005457FE">
      <w:r>
        <w:separator/>
      </w:r>
    </w:p>
  </w:endnote>
  <w:endnote w:type="continuationSeparator" w:id="0">
    <w:p w14:paraId="3174988D" w14:textId="77777777" w:rsidR="005457FE" w:rsidRDefault="005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1249D" w14:textId="77777777" w:rsidR="005E28A8" w:rsidRDefault="005E2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CDF8A" w14:textId="520B9CD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67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67C2">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91BA5" w14:textId="77777777" w:rsidR="005E28A8" w:rsidRDefault="005E2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B0756" w14:textId="77777777" w:rsidR="005457FE" w:rsidRDefault="005457FE">
      <w:r>
        <w:separator/>
      </w:r>
    </w:p>
  </w:footnote>
  <w:footnote w:type="continuationSeparator" w:id="0">
    <w:p w14:paraId="27DB4F10" w14:textId="77777777" w:rsidR="005457FE" w:rsidRDefault="0054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A1D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B8F23" w14:textId="77777777" w:rsidR="005E28A8" w:rsidRDefault="005E28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CCFC6" w14:textId="77777777" w:rsidR="005E28A8" w:rsidRDefault="005E2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892BCA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55AC7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729D5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A824B8"/>
    <w:multiLevelType w:val="hybridMultilevel"/>
    <w:tmpl w:val="8BC0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cs="Times New Roman" w:hint="default"/>
      </w:rPr>
    </w:lvl>
    <w:lvl w:ilvl="1" w:tplc="3B80054C">
      <w:start w:val="1169"/>
      <w:numFmt w:val="bullet"/>
      <w:lvlText w:val="–"/>
      <w:lvlJc w:val="left"/>
      <w:pPr>
        <w:tabs>
          <w:tab w:val="num" w:pos="1440"/>
        </w:tabs>
        <w:ind w:left="1440" w:hanging="360"/>
      </w:pPr>
      <w:rPr>
        <w:rFonts w:ascii="Arial" w:hAnsi="Arial" w:cs="Times New Roman" w:hint="default"/>
      </w:rPr>
    </w:lvl>
    <w:lvl w:ilvl="2" w:tplc="88D029E6">
      <w:start w:val="1169"/>
      <w:numFmt w:val="bullet"/>
      <w:lvlText w:val="•"/>
      <w:lvlJc w:val="left"/>
      <w:pPr>
        <w:tabs>
          <w:tab w:val="num" w:pos="2160"/>
        </w:tabs>
        <w:ind w:left="2160" w:hanging="360"/>
      </w:pPr>
      <w:rPr>
        <w:rFonts w:ascii="Arial" w:hAnsi="Arial" w:cs="Times New Roman" w:hint="default"/>
      </w:rPr>
    </w:lvl>
    <w:lvl w:ilvl="3" w:tplc="C7708976">
      <w:start w:val="1"/>
      <w:numFmt w:val="bullet"/>
      <w:lvlText w:val="•"/>
      <w:lvlJc w:val="left"/>
      <w:pPr>
        <w:tabs>
          <w:tab w:val="num" w:pos="2880"/>
        </w:tabs>
        <w:ind w:left="2880" w:hanging="360"/>
      </w:pPr>
      <w:rPr>
        <w:rFonts w:ascii="Arial" w:hAnsi="Arial" w:cs="Times New Roman" w:hint="default"/>
      </w:rPr>
    </w:lvl>
    <w:lvl w:ilvl="4" w:tplc="086A30AA">
      <w:start w:val="1"/>
      <w:numFmt w:val="bullet"/>
      <w:lvlText w:val="•"/>
      <w:lvlJc w:val="left"/>
      <w:pPr>
        <w:tabs>
          <w:tab w:val="num" w:pos="3600"/>
        </w:tabs>
        <w:ind w:left="3600" w:hanging="360"/>
      </w:pPr>
      <w:rPr>
        <w:rFonts w:ascii="Arial" w:hAnsi="Arial" w:cs="Times New Roman" w:hint="default"/>
      </w:rPr>
    </w:lvl>
    <w:lvl w:ilvl="5" w:tplc="4DD8C5A8">
      <w:start w:val="1"/>
      <w:numFmt w:val="bullet"/>
      <w:lvlText w:val="•"/>
      <w:lvlJc w:val="left"/>
      <w:pPr>
        <w:tabs>
          <w:tab w:val="num" w:pos="4320"/>
        </w:tabs>
        <w:ind w:left="4320" w:hanging="360"/>
      </w:pPr>
      <w:rPr>
        <w:rFonts w:ascii="Arial" w:hAnsi="Arial" w:cs="Times New Roman" w:hint="default"/>
      </w:rPr>
    </w:lvl>
    <w:lvl w:ilvl="6" w:tplc="6890BE64">
      <w:start w:val="1"/>
      <w:numFmt w:val="bullet"/>
      <w:lvlText w:val="•"/>
      <w:lvlJc w:val="left"/>
      <w:pPr>
        <w:tabs>
          <w:tab w:val="num" w:pos="5040"/>
        </w:tabs>
        <w:ind w:left="5040" w:hanging="360"/>
      </w:pPr>
      <w:rPr>
        <w:rFonts w:ascii="Arial" w:hAnsi="Arial" w:cs="Times New Roman" w:hint="default"/>
      </w:rPr>
    </w:lvl>
    <w:lvl w:ilvl="7" w:tplc="979492DA">
      <w:start w:val="1"/>
      <w:numFmt w:val="bullet"/>
      <w:lvlText w:val="•"/>
      <w:lvlJc w:val="left"/>
      <w:pPr>
        <w:tabs>
          <w:tab w:val="num" w:pos="5760"/>
        </w:tabs>
        <w:ind w:left="5760" w:hanging="360"/>
      </w:pPr>
      <w:rPr>
        <w:rFonts w:ascii="Arial" w:hAnsi="Arial" w:cs="Times New Roman" w:hint="default"/>
      </w:rPr>
    </w:lvl>
    <w:lvl w:ilvl="8" w:tplc="211EFB1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2E48FEC"/>
    <w:lvl w:ilvl="0" w:tplc="FBB62B1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cs="Times New Roman" w:hint="default"/>
      </w:rPr>
    </w:lvl>
    <w:lvl w:ilvl="1" w:tplc="CB4EED7A">
      <w:start w:val="276"/>
      <w:numFmt w:val="bullet"/>
      <w:lvlText w:val="–"/>
      <w:lvlJc w:val="left"/>
      <w:pPr>
        <w:tabs>
          <w:tab w:val="num" w:pos="1440"/>
        </w:tabs>
        <w:ind w:left="1440" w:hanging="360"/>
      </w:pPr>
      <w:rPr>
        <w:rFonts w:ascii="Arial" w:hAnsi="Arial" w:cs="Times New Roman" w:hint="default"/>
      </w:rPr>
    </w:lvl>
    <w:lvl w:ilvl="2" w:tplc="E8E898D6">
      <w:start w:val="1"/>
      <w:numFmt w:val="bullet"/>
      <w:lvlText w:val="•"/>
      <w:lvlJc w:val="left"/>
      <w:pPr>
        <w:tabs>
          <w:tab w:val="num" w:pos="2160"/>
        </w:tabs>
        <w:ind w:left="2160" w:hanging="360"/>
      </w:pPr>
      <w:rPr>
        <w:rFonts w:ascii="Arial" w:hAnsi="Arial" w:cs="Times New Roman" w:hint="default"/>
      </w:rPr>
    </w:lvl>
    <w:lvl w:ilvl="3" w:tplc="C5CA8D04">
      <w:start w:val="1"/>
      <w:numFmt w:val="bullet"/>
      <w:lvlText w:val="•"/>
      <w:lvlJc w:val="left"/>
      <w:pPr>
        <w:tabs>
          <w:tab w:val="num" w:pos="2880"/>
        </w:tabs>
        <w:ind w:left="2880" w:hanging="360"/>
      </w:pPr>
      <w:rPr>
        <w:rFonts w:ascii="Arial" w:hAnsi="Arial" w:cs="Times New Roman" w:hint="default"/>
      </w:rPr>
    </w:lvl>
    <w:lvl w:ilvl="4" w:tplc="4C7A4B22">
      <w:start w:val="1"/>
      <w:numFmt w:val="bullet"/>
      <w:lvlText w:val="•"/>
      <w:lvlJc w:val="left"/>
      <w:pPr>
        <w:tabs>
          <w:tab w:val="num" w:pos="3600"/>
        </w:tabs>
        <w:ind w:left="3600" w:hanging="360"/>
      </w:pPr>
      <w:rPr>
        <w:rFonts w:ascii="Arial" w:hAnsi="Arial" w:cs="Times New Roman" w:hint="default"/>
      </w:rPr>
    </w:lvl>
    <w:lvl w:ilvl="5" w:tplc="B106E48A">
      <w:start w:val="1"/>
      <w:numFmt w:val="bullet"/>
      <w:lvlText w:val="•"/>
      <w:lvlJc w:val="left"/>
      <w:pPr>
        <w:tabs>
          <w:tab w:val="num" w:pos="4320"/>
        </w:tabs>
        <w:ind w:left="4320" w:hanging="360"/>
      </w:pPr>
      <w:rPr>
        <w:rFonts w:ascii="Arial" w:hAnsi="Arial" w:cs="Times New Roman" w:hint="default"/>
      </w:rPr>
    </w:lvl>
    <w:lvl w:ilvl="6" w:tplc="48B81432">
      <w:start w:val="1"/>
      <w:numFmt w:val="bullet"/>
      <w:lvlText w:val="•"/>
      <w:lvlJc w:val="left"/>
      <w:pPr>
        <w:tabs>
          <w:tab w:val="num" w:pos="5040"/>
        </w:tabs>
        <w:ind w:left="5040" w:hanging="360"/>
      </w:pPr>
      <w:rPr>
        <w:rFonts w:ascii="Arial" w:hAnsi="Arial" w:cs="Times New Roman" w:hint="default"/>
      </w:rPr>
    </w:lvl>
    <w:lvl w:ilvl="7" w:tplc="1F9AC96C">
      <w:start w:val="1"/>
      <w:numFmt w:val="bullet"/>
      <w:lvlText w:val="•"/>
      <w:lvlJc w:val="left"/>
      <w:pPr>
        <w:tabs>
          <w:tab w:val="num" w:pos="5760"/>
        </w:tabs>
        <w:ind w:left="5760" w:hanging="360"/>
      </w:pPr>
      <w:rPr>
        <w:rFonts w:ascii="Arial" w:hAnsi="Arial" w:cs="Times New Roman" w:hint="default"/>
      </w:rPr>
    </w:lvl>
    <w:lvl w:ilvl="8" w:tplc="C9B4A5B2">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4"/>
  </w:num>
  <w:num w:numId="17">
    <w:abstractNumId w:val="4"/>
  </w:num>
  <w:num w:numId="18">
    <w:abstractNumId w:val="19"/>
  </w:num>
  <w:num w:numId="19">
    <w:abstractNumId w:val="14"/>
  </w:num>
  <w:num w:numId="20">
    <w:abstractNumId w:val="16"/>
  </w:num>
  <w:num w:numId="21">
    <w:abstractNumId w:val="6"/>
  </w:num>
  <w:num w:numId="22">
    <w:abstractNumId w:val="5"/>
  </w:num>
  <w:num w:numId="23">
    <w:abstractNumId w:val="8"/>
  </w:num>
  <w:num w:numId="24">
    <w:abstractNumId w:val="11"/>
  </w:num>
  <w:num w:numId="25">
    <w:abstractNumId w:val="11"/>
  </w:num>
  <w:num w:numId="26">
    <w:abstractNumId w:val="1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1F5"/>
    <w:rsid w:val="000006E1"/>
    <w:rsid w:val="000019B9"/>
    <w:rsid w:val="00002A37"/>
    <w:rsid w:val="000039F4"/>
    <w:rsid w:val="00006446"/>
    <w:rsid w:val="00006896"/>
    <w:rsid w:val="00006F40"/>
    <w:rsid w:val="00007CDC"/>
    <w:rsid w:val="00011B28"/>
    <w:rsid w:val="00015D15"/>
    <w:rsid w:val="0002564D"/>
    <w:rsid w:val="00025ECA"/>
    <w:rsid w:val="000325B8"/>
    <w:rsid w:val="00034C15"/>
    <w:rsid w:val="00035146"/>
    <w:rsid w:val="00036BA1"/>
    <w:rsid w:val="000422E2"/>
    <w:rsid w:val="00042F22"/>
    <w:rsid w:val="000444EF"/>
    <w:rsid w:val="00052A07"/>
    <w:rsid w:val="000534E3"/>
    <w:rsid w:val="0005606A"/>
    <w:rsid w:val="000564F6"/>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053"/>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AF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1D3"/>
    <w:rsid w:val="00144B50"/>
    <w:rsid w:val="00151E23"/>
    <w:rsid w:val="001526E0"/>
    <w:rsid w:val="001551B5"/>
    <w:rsid w:val="001659C1"/>
    <w:rsid w:val="00166FD3"/>
    <w:rsid w:val="00173A8E"/>
    <w:rsid w:val="00177795"/>
    <w:rsid w:val="0018143F"/>
    <w:rsid w:val="00190AC1"/>
    <w:rsid w:val="0019341A"/>
    <w:rsid w:val="00197403"/>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2D1"/>
    <w:rsid w:val="002319E4"/>
    <w:rsid w:val="00231DEF"/>
    <w:rsid w:val="00235632"/>
    <w:rsid w:val="00235872"/>
    <w:rsid w:val="00241559"/>
    <w:rsid w:val="002435B3"/>
    <w:rsid w:val="002458EB"/>
    <w:rsid w:val="002500C8"/>
    <w:rsid w:val="00251B6B"/>
    <w:rsid w:val="00256492"/>
    <w:rsid w:val="00257543"/>
    <w:rsid w:val="002617E7"/>
    <w:rsid w:val="00264228"/>
    <w:rsid w:val="00264334"/>
    <w:rsid w:val="0026473E"/>
    <w:rsid w:val="00266214"/>
    <w:rsid w:val="00267C83"/>
    <w:rsid w:val="0027124C"/>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9B6"/>
    <w:rsid w:val="002D401B"/>
    <w:rsid w:val="002D7637"/>
    <w:rsid w:val="002E17F2"/>
    <w:rsid w:val="002E7CAE"/>
    <w:rsid w:val="002F2771"/>
    <w:rsid w:val="002F37A9"/>
    <w:rsid w:val="00301CE6"/>
    <w:rsid w:val="0030256B"/>
    <w:rsid w:val="003038CF"/>
    <w:rsid w:val="0030501F"/>
    <w:rsid w:val="00307220"/>
    <w:rsid w:val="00307BA1"/>
    <w:rsid w:val="00311702"/>
    <w:rsid w:val="00311E82"/>
    <w:rsid w:val="00313FD6"/>
    <w:rsid w:val="003143BD"/>
    <w:rsid w:val="003203ED"/>
    <w:rsid w:val="00322C9F"/>
    <w:rsid w:val="00324D23"/>
    <w:rsid w:val="00325E4C"/>
    <w:rsid w:val="00326469"/>
    <w:rsid w:val="00331751"/>
    <w:rsid w:val="00331C4B"/>
    <w:rsid w:val="00334579"/>
    <w:rsid w:val="00335858"/>
    <w:rsid w:val="00336BDA"/>
    <w:rsid w:val="00342BD7"/>
    <w:rsid w:val="00343A07"/>
    <w:rsid w:val="003448D0"/>
    <w:rsid w:val="00346DB5"/>
    <w:rsid w:val="003477B1"/>
    <w:rsid w:val="00352033"/>
    <w:rsid w:val="00357380"/>
    <w:rsid w:val="003602D9"/>
    <w:rsid w:val="003604CE"/>
    <w:rsid w:val="00370E47"/>
    <w:rsid w:val="003742AC"/>
    <w:rsid w:val="00377CE1"/>
    <w:rsid w:val="00381C19"/>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0210"/>
    <w:rsid w:val="003E15FA"/>
    <w:rsid w:val="003E55E4"/>
    <w:rsid w:val="003E74E3"/>
    <w:rsid w:val="003F05C7"/>
    <w:rsid w:val="003F2CD4"/>
    <w:rsid w:val="003F6BBE"/>
    <w:rsid w:val="004000E8"/>
    <w:rsid w:val="00402E2B"/>
    <w:rsid w:val="00404006"/>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C8C"/>
    <w:rsid w:val="004517AA"/>
    <w:rsid w:val="00452CAC"/>
    <w:rsid w:val="00457565"/>
    <w:rsid w:val="00457971"/>
    <w:rsid w:val="00457B71"/>
    <w:rsid w:val="004669E2"/>
    <w:rsid w:val="00470C31"/>
    <w:rsid w:val="004734D0"/>
    <w:rsid w:val="0047556B"/>
    <w:rsid w:val="00477768"/>
    <w:rsid w:val="00483666"/>
    <w:rsid w:val="00492BC5"/>
    <w:rsid w:val="004964F1"/>
    <w:rsid w:val="004A16BC"/>
    <w:rsid w:val="004A2B94"/>
    <w:rsid w:val="004B37C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092"/>
    <w:rsid w:val="00534B59"/>
    <w:rsid w:val="00534CDB"/>
    <w:rsid w:val="00536759"/>
    <w:rsid w:val="00537C62"/>
    <w:rsid w:val="005457FE"/>
    <w:rsid w:val="00546970"/>
    <w:rsid w:val="00554E19"/>
    <w:rsid w:val="0056121F"/>
    <w:rsid w:val="005723E7"/>
    <w:rsid w:val="00572505"/>
    <w:rsid w:val="00582809"/>
    <w:rsid w:val="0058798C"/>
    <w:rsid w:val="005900FA"/>
    <w:rsid w:val="005935A4"/>
    <w:rsid w:val="005948C2"/>
    <w:rsid w:val="00595DCA"/>
    <w:rsid w:val="0059779B"/>
    <w:rsid w:val="005A209A"/>
    <w:rsid w:val="005A2D63"/>
    <w:rsid w:val="005A662D"/>
    <w:rsid w:val="005B35D7"/>
    <w:rsid w:val="005B392A"/>
    <w:rsid w:val="005B3AA3"/>
    <w:rsid w:val="005B591A"/>
    <w:rsid w:val="005B6F83"/>
    <w:rsid w:val="005C74FB"/>
    <w:rsid w:val="005D1602"/>
    <w:rsid w:val="005E28A8"/>
    <w:rsid w:val="005E2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1F"/>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9B6"/>
    <w:rsid w:val="00704EDB"/>
    <w:rsid w:val="00706101"/>
    <w:rsid w:val="00707072"/>
    <w:rsid w:val="00707D61"/>
    <w:rsid w:val="00712287"/>
    <w:rsid w:val="00712772"/>
    <w:rsid w:val="007148D3"/>
    <w:rsid w:val="00715B9A"/>
    <w:rsid w:val="00722054"/>
    <w:rsid w:val="00725DD1"/>
    <w:rsid w:val="00726EA6"/>
    <w:rsid w:val="00727208"/>
    <w:rsid w:val="00727680"/>
    <w:rsid w:val="0073025F"/>
    <w:rsid w:val="007348B1"/>
    <w:rsid w:val="007362A6"/>
    <w:rsid w:val="00736D7D"/>
    <w:rsid w:val="00740E58"/>
    <w:rsid w:val="007445A0"/>
    <w:rsid w:val="0074524B"/>
    <w:rsid w:val="00747D8B"/>
    <w:rsid w:val="00751228"/>
    <w:rsid w:val="007571E1"/>
    <w:rsid w:val="007604B2"/>
    <w:rsid w:val="0076142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756"/>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ED"/>
    <w:rsid w:val="007F7E8E"/>
    <w:rsid w:val="00803FAE"/>
    <w:rsid w:val="0080605F"/>
    <w:rsid w:val="00807786"/>
    <w:rsid w:val="00811FCB"/>
    <w:rsid w:val="00812F3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25D5"/>
    <w:rsid w:val="00874312"/>
    <w:rsid w:val="0087437C"/>
    <w:rsid w:val="00875CD7"/>
    <w:rsid w:val="00876B4D"/>
    <w:rsid w:val="00877F18"/>
    <w:rsid w:val="00894A88"/>
    <w:rsid w:val="00895386"/>
    <w:rsid w:val="0089578D"/>
    <w:rsid w:val="008A21FF"/>
    <w:rsid w:val="008A2CE2"/>
    <w:rsid w:val="008A30AC"/>
    <w:rsid w:val="008A44B8"/>
    <w:rsid w:val="008A51A8"/>
    <w:rsid w:val="008A5352"/>
    <w:rsid w:val="008A54C7"/>
    <w:rsid w:val="008A77D8"/>
    <w:rsid w:val="008B02AF"/>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F6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266"/>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1561"/>
    <w:rsid w:val="00A91362"/>
    <w:rsid w:val="00A92879"/>
    <w:rsid w:val="00A9442A"/>
    <w:rsid w:val="00AA016F"/>
    <w:rsid w:val="00AA1ED6"/>
    <w:rsid w:val="00AA2CB8"/>
    <w:rsid w:val="00AA51D6"/>
    <w:rsid w:val="00AB0BC8"/>
    <w:rsid w:val="00AB11CA"/>
    <w:rsid w:val="00AB14D9"/>
    <w:rsid w:val="00AB4AB8"/>
    <w:rsid w:val="00AB655E"/>
    <w:rsid w:val="00AB6A15"/>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736"/>
    <w:rsid w:val="00B20D09"/>
    <w:rsid w:val="00B2763F"/>
    <w:rsid w:val="00B27AAC"/>
    <w:rsid w:val="00B30929"/>
    <w:rsid w:val="00B372AA"/>
    <w:rsid w:val="00B377EC"/>
    <w:rsid w:val="00B40445"/>
    <w:rsid w:val="00B41888"/>
    <w:rsid w:val="00B45A52"/>
    <w:rsid w:val="00B46175"/>
    <w:rsid w:val="00B468B0"/>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6CE9"/>
    <w:rsid w:val="00BB702E"/>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848"/>
    <w:rsid w:val="00C3719D"/>
    <w:rsid w:val="00C53B07"/>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D45"/>
    <w:rsid w:val="00CA1ED8"/>
    <w:rsid w:val="00CB1F63"/>
    <w:rsid w:val="00CB64F5"/>
    <w:rsid w:val="00CB7170"/>
    <w:rsid w:val="00CC040E"/>
    <w:rsid w:val="00CC111F"/>
    <w:rsid w:val="00CC169A"/>
    <w:rsid w:val="00CC2011"/>
    <w:rsid w:val="00CC3EA0"/>
    <w:rsid w:val="00CC7B45"/>
    <w:rsid w:val="00CD1188"/>
    <w:rsid w:val="00CD21F5"/>
    <w:rsid w:val="00CD2ED1"/>
    <w:rsid w:val="00CD337B"/>
    <w:rsid w:val="00CE0424"/>
    <w:rsid w:val="00CE7561"/>
    <w:rsid w:val="00CF1354"/>
    <w:rsid w:val="00CF3B1F"/>
    <w:rsid w:val="00CF3BF6"/>
    <w:rsid w:val="00CF625B"/>
    <w:rsid w:val="00CF67C2"/>
    <w:rsid w:val="00CF687E"/>
    <w:rsid w:val="00D0349B"/>
    <w:rsid w:val="00D10249"/>
    <w:rsid w:val="00D115C3"/>
    <w:rsid w:val="00D11897"/>
    <w:rsid w:val="00D13135"/>
    <w:rsid w:val="00D13E4E"/>
    <w:rsid w:val="00D163E5"/>
    <w:rsid w:val="00D239A7"/>
    <w:rsid w:val="00D23F47"/>
    <w:rsid w:val="00D36E71"/>
    <w:rsid w:val="00D37D87"/>
    <w:rsid w:val="00D40B33"/>
    <w:rsid w:val="00D4318F"/>
    <w:rsid w:val="00D438BF"/>
    <w:rsid w:val="00D440F8"/>
    <w:rsid w:val="00D50F97"/>
    <w:rsid w:val="00D546FF"/>
    <w:rsid w:val="00D55AD5"/>
    <w:rsid w:val="00D576CA"/>
    <w:rsid w:val="00D61974"/>
    <w:rsid w:val="00D61AF5"/>
    <w:rsid w:val="00D652B5"/>
    <w:rsid w:val="00D66155"/>
    <w:rsid w:val="00D708B0"/>
    <w:rsid w:val="00D77B1D"/>
    <w:rsid w:val="00D8021F"/>
    <w:rsid w:val="00D80383"/>
    <w:rsid w:val="00D823C6"/>
    <w:rsid w:val="00D86640"/>
    <w:rsid w:val="00D86CA3"/>
    <w:rsid w:val="00D871CE"/>
    <w:rsid w:val="00D9196D"/>
    <w:rsid w:val="00D92982"/>
    <w:rsid w:val="00DA305E"/>
    <w:rsid w:val="00DA34B4"/>
    <w:rsid w:val="00DA5417"/>
    <w:rsid w:val="00DA56E8"/>
    <w:rsid w:val="00DB0A9F"/>
    <w:rsid w:val="00DB377D"/>
    <w:rsid w:val="00DC2D36"/>
    <w:rsid w:val="00DC53EF"/>
    <w:rsid w:val="00DE0FED"/>
    <w:rsid w:val="00DE5608"/>
    <w:rsid w:val="00DE58D0"/>
    <w:rsid w:val="00DE654F"/>
    <w:rsid w:val="00DE70C8"/>
    <w:rsid w:val="00DF0B6E"/>
    <w:rsid w:val="00DF15E0"/>
    <w:rsid w:val="00DF37A0"/>
    <w:rsid w:val="00E110E7"/>
    <w:rsid w:val="00E11B20"/>
    <w:rsid w:val="00E17FA2"/>
    <w:rsid w:val="00E2134F"/>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7E5"/>
    <w:rsid w:val="00E67C51"/>
    <w:rsid w:val="00E72EFC"/>
    <w:rsid w:val="00E758EC"/>
    <w:rsid w:val="00E8234C"/>
    <w:rsid w:val="00E83AA9"/>
    <w:rsid w:val="00E85928"/>
    <w:rsid w:val="00E87822"/>
    <w:rsid w:val="00E90395"/>
    <w:rsid w:val="00E90E49"/>
    <w:rsid w:val="00E917F9"/>
    <w:rsid w:val="00E9291C"/>
    <w:rsid w:val="00E93FFE"/>
    <w:rsid w:val="00E94F8A"/>
    <w:rsid w:val="00EA2102"/>
    <w:rsid w:val="00EA7A41"/>
    <w:rsid w:val="00EB077B"/>
    <w:rsid w:val="00EB4EA2"/>
    <w:rsid w:val="00EB55FB"/>
    <w:rsid w:val="00EC27C6"/>
    <w:rsid w:val="00EC4207"/>
    <w:rsid w:val="00EC5653"/>
    <w:rsid w:val="00EC71CE"/>
    <w:rsid w:val="00ED1006"/>
    <w:rsid w:val="00ED23C2"/>
    <w:rsid w:val="00EF18FE"/>
    <w:rsid w:val="00EF5787"/>
    <w:rsid w:val="00EF60D0"/>
    <w:rsid w:val="00F0528D"/>
    <w:rsid w:val="00F06C67"/>
    <w:rsid w:val="00F06DFD"/>
    <w:rsid w:val="00F071D1"/>
    <w:rsid w:val="00F07533"/>
    <w:rsid w:val="00F10629"/>
    <w:rsid w:val="00F11F19"/>
    <w:rsid w:val="00F14BA2"/>
    <w:rsid w:val="00F15FA5"/>
    <w:rsid w:val="00F209B7"/>
    <w:rsid w:val="00F2376F"/>
    <w:rsid w:val="00F243D8"/>
    <w:rsid w:val="00F275C6"/>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670"/>
    <w:rsid w:val="00FB6A6A"/>
    <w:rsid w:val="00FC7429"/>
    <w:rsid w:val="00FD07F6"/>
    <w:rsid w:val="00FD1EC8"/>
    <w:rsid w:val="00FD47ED"/>
    <w:rsid w:val="00FD4C6C"/>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F67C2"/>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5E28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E28A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E28A8"/>
    <w:pPr>
      <w:numPr>
        <w:ilvl w:val="2"/>
      </w:numPr>
      <w:spacing w:before="120"/>
      <w:outlineLvl w:val="2"/>
    </w:pPr>
    <w:rPr>
      <w:sz w:val="28"/>
      <w:szCs w:val="28"/>
    </w:rPr>
  </w:style>
  <w:style w:type="paragraph" w:styleId="Heading4">
    <w:name w:val="heading 4"/>
    <w:basedOn w:val="Heading3"/>
    <w:next w:val="Normal"/>
    <w:qFormat/>
    <w:rsid w:val="005E28A8"/>
    <w:pPr>
      <w:numPr>
        <w:ilvl w:val="3"/>
      </w:numPr>
      <w:outlineLvl w:val="3"/>
    </w:pPr>
    <w:rPr>
      <w:sz w:val="24"/>
      <w:szCs w:val="24"/>
    </w:rPr>
  </w:style>
  <w:style w:type="paragraph" w:styleId="Heading5">
    <w:name w:val="heading 5"/>
    <w:basedOn w:val="Heading4"/>
    <w:next w:val="Normal"/>
    <w:qFormat/>
    <w:rsid w:val="005E28A8"/>
    <w:pPr>
      <w:numPr>
        <w:ilvl w:val="4"/>
      </w:numPr>
      <w:outlineLvl w:val="4"/>
    </w:pPr>
    <w:rPr>
      <w:sz w:val="22"/>
      <w:szCs w:val="22"/>
    </w:rPr>
  </w:style>
  <w:style w:type="paragraph" w:styleId="Heading6">
    <w:name w:val="heading 6"/>
    <w:basedOn w:val="Normal"/>
    <w:next w:val="Normal"/>
    <w:qFormat/>
    <w:rsid w:val="005E28A8"/>
    <w:pPr>
      <w:keepNext/>
      <w:keepLines/>
      <w:numPr>
        <w:ilvl w:val="5"/>
        <w:numId w:val="1"/>
      </w:numPr>
      <w:spacing w:before="120"/>
      <w:outlineLvl w:val="5"/>
    </w:pPr>
    <w:rPr>
      <w:rFonts w:cs="Arial"/>
    </w:rPr>
  </w:style>
  <w:style w:type="paragraph" w:styleId="Heading7">
    <w:name w:val="heading 7"/>
    <w:basedOn w:val="Normal"/>
    <w:next w:val="Normal"/>
    <w:qFormat/>
    <w:rsid w:val="005E28A8"/>
    <w:pPr>
      <w:keepNext/>
      <w:keepLines/>
      <w:numPr>
        <w:ilvl w:val="6"/>
        <w:numId w:val="1"/>
      </w:numPr>
      <w:spacing w:before="120"/>
      <w:outlineLvl w:val="6"/>
    </w:pPr>
    <w:rPr>
      <w:rFonts w:cs="Arial"/>
    </w:rPr>
  </w:style>
  <w:style w:type="paragraph" w:styleId="Heading8">
    <w:name w:val="heading 8"/>
    <w:basedOn w:val="Heading7"/>
    <w:next w:val="Normal"/>
    <w:qFormat/>
    <w:rsid w:val="005E28A8"/>
    <w:pPr>
      <w:numPr>
        <w:ilvl w:val="7"/>
      </w:numPr>
      <w:outlineLvl w:val="7"/>
    </w:pPr>
  </w:style>
  <w:style w:type="paragraph" w:styleId="Heading9">
    <w:name w:val="heading 9"/>
    <w:basedOn w:val="Heading8"/>
    <w:next w:val="Normal"/>
    <w:qFormat/>
    <w:rsid w:val="005E28A8"/>
    <w:pPr>
      <w:numPr>
        <w:ilvl w:val="8"/>
      </w:numPr>
      <w:outlineLvl w:val="8"/>
    </w:pPr>
  </w:style>
  <w:style w:type="character" w:default="1" w:styleId="DefaultParagraphFont">
    <w:name w:val="Default Paragraph Font"/>
    <w:uiPriority w:val="1"/>
    <w:semiHidden/>
    <w:unhideWhenUsed/>
    <w:rsid w:val="00CF67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67C2"/>
  </w:style>
  <w:style w:type="paragraph" w:styleId="TOC8">
    <w:name w:val="toc 8"/>
    <w:basedOn w:val="TOC1"/>
    <w:semiHidden/>
    <w:rsid w:val="005E28A8"/>
    <w:pPr>
      <w:spacing w:before="180"/>
      <w:ind w:left="2693" w:hanging="2693"/>
    </w:pPr>
    <w:rPr>
      <w:b w:val="0"/>
      <w:bCs/>
    </w:rPr>
  </w:style>
  <w:style w:type="paragraph" w:styleId="TOC1">
    <w:name w:val="toc 1"/>
    <w:aliases w:val="Observation TOC2"/>
    <w:uiPriority w:val="39"/>
    <w:rsid w:val="005E28A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E28A8"/>
    <w:pPr>
      <w:keepNext/>
      <w:keepLines/>
      <w:spacing w:before="180"/>
      <w:jc w:val="center"/>
    </w:pPr>
  </w:style>
  <w:style w:type="paragraph" w:styleId="Caption">
    <w:name w:val="caption"/>
    <w:basedOn w:val="Normal"/>
    <w:next w:val="Normal"/>
    <w:qFormat/>
    <w:rsid w:val="005E28A8"/>
    <w:pPr>
      <w:spacing w:after="240"/>
      <w:jc w:val="center"/>
    </w:pPr>
    <w:rPr>
      <w:b/>
      <w:bCs/>
    </w:rPr>
  </w:style>
  <w:style w:type="paragraph" w:styleId="TOC5">
    <w:name w:val="toc 5"/>
    <w:aliases w:val="Observation TOC"/>
    <w:basedOn w:val="TOC4"/>
    <w:semiHidden/>
    <w:rsid w:val="005E28A8"/>
    <w:pPr>
      <w:tabs>
        <w:tab w:val="right" w:pos="1701"/>
      </w:tabs>
      <w:ind w:left="1701" w:hanging="1701"/>
    </w:pPr>
  </w:style>
  <w:style w:type="paragraph" w:styleId="TOC4">
    <w:name w:val="toc 4"/>
    <w:basedOn w:val="TOC3"/>
    <w:semiHidden/>
    <w:rsid w:val="005E28A8"/>
    <w:pPr>
      <w:ind w:left="1418" w:hanging="1418"/>
    </w:pPr>
  </w:style>
  <w:style w:type="paragraph" w:styleId="TOC3">
    <w:name w:val="toc 3"/>
    <w:basedOn w:val="TOC2"/>
    <w:semiHidden/>
    <w:rsid w:val="005E28A8"/>
    <w:pPr>
      <w:ind w:left="1134" w:hanging="1134"/>
    </w:pPr>
  </w:style>
  <w:style w:type="paragraph" w:styleId="TOC2">
    <w:name w:val="toc 2"/>
    <w:basedOn w:val="TOC1"/>
    <w:semiHidden/>
    <w:rsid w:val="005E28A8"/>
    <w:pPr>
      <w:keepNext w:val="0"/>
      <w:spacing w:before="0"/>
      <w:ind w:left="851" w:hanging="851"/>
    </w:pPr>
    <w:rPr>
      <w:szCs w:val="20"/>
    </w:rPr>
  </w:style>
  <w:style w:type="paragraph" w:styleId="Index2">
    <w:name w:val="index 2"/>
    <w:basedOn w:val="Index1"/>
    <w:semiHidden/>
    <w:rsid w:val="005E28A8"/>
    <w:pPr>
      <w:ind w:left="284"/>
    </w:pPr>
  </w:style>
  <w:style w:type="paragraph" w:styleId="Index1">
    <w:name w:val="index 1"/>
    <w:basedOn w:val="Normal"/>
    <w:semiHidden/>
    <w:rsid w:val="005E28A8"/>
    <w:pPr>
      <w:keepLines/>
      <w:spacing w:after="0"/>
    </w:pPr>
  </w:style>
  <w:style w:type="paragraph" w:styleId="DocumentMap">
    <w:name w:val="Document Map"/>
    <w:basedOn w:val="Normal"/>
    <w:semiHidden/>
    <w:rsid w:val="005E28A8"/>
    <w:pPr>
      <w:shd w:val="clear" w:color="auto" w:fill="000080"/>
    </w:pPr>
    <w:rPr>
      <w:rFonts w:ascii="Tahoma" w:hAnsi="Tahoma" w:cs="Tahoma"/>
    </w:rPr>
  </w:style>
  <w:style w:type="paragraph" w:styleId="ListNumber2">
    <w:name w:val="List Number 2"/>
    <w:basedOn w:val="ListNumber"/>
    <w:rsid w:val="005E28A8"/>
    <w:pPr>
      <w:ind w:left="851"/>
    </w:pPr>
  </w:style>
  <w:style w:type="paragraph" w:styleId="ListNumber">
    <w:name w:val="List Number"/>
    <w:basedOn w:val="List"/>
    <w:rsid w:val="005E28A8"/>
  </w:style>
  <w:style w:type="paragraph" w:styleId="List">
    <w:name w:val="List"/>
    <w:basedOn w:val="Normal"/>
    <w:rsid w:val="005E28A8"/>
    <w:pPr>
      <w:ind w:left="568" w:hanging="284"/>
    </w:pPr>
  </w:style>
  <w:style w:type="paragraph" w:styleId="Header">
    <w:name w:val="header"/>
    <w:rsid w:val="005E28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E28A8"/>
    <w:rPr>
      <w:b/>
      <w:bCs/>
      <w:position w:val="6"/>
      <w:sz w:val="16"/>
      <w:szCs w:val="16"/>
    </w:rPr>
  </w:style>
  <w:style w:type="paragraph" w:styleId="FootnoteText">
    <w:name w:val="footnote text"/>
    <w:basedOn w:val="Normal"/>
    <w:semiHidden/>
    <w:rsid w:val="005E28A8"/>
    <w:pPr>
      <w:keepLines/>
      <w:spacing w:after="0"/>
      <w:ind w:left="454" w:hanging="454"/>
    </w:pPr>
    <w:rPr>
      <w:sz w:val="16"/>
      <w:szCs w:val="16"/>
    </w:rPr>
  </w:style>
  <w:style w:type="paragraph" w:customStyle="1" w:styleId="3GPPHeader">
    <w:name w:val="3GPP_Header"/>
    <w:basedOn w:val="Normal"/>
    <w:rsid w:val="005E28A8"/>
    <w:pPr>
      <w:tabs>
        <w:tab w:val="left" w:pos="1701"/>
        <w:tab w:val="right" w:pos="9639"/>
      </w:tabs>
      <w:spacing w:after="240"/>
    </w:pPr>
    <w:rPr>
      <w:b/>
      <w:sz w:val="24"/>
    </w:rPr>
  </w:style>
  <w:style w:type="paragraph" w:styleId="TOC9">
    <w:name w:val="toc 9"/>
    <w:basedOn w:val="TOC8"/>
    <w:semiHidden/>
    <w:rsid w:val="005E28A8"/>
    <w:pPr>
      <w:ind w:left="1418" w:hanging="1418"/>
    </w:pPr>
  </w:style>
  <w:style w:type="paragraph" w:styleId="TOC6">
    <w:name w:val="toc 6"/>
    <w:basedOn w:val="TOC5"/>
    <w:next w:val="Normal"/>
    <w:semiHidden/>
    <w:rsid w:val="005E28A8"/>
    <w:pPr>
      <w:ind w:left="1985" w:hanging="1985"/>
    </w:pPr>
  </w:style>
  <w:style w:type="paragraph" w:styleId="TOC7">
    <w:name w:val="toc 7"/>
    <w:basedOn w:val="TOC6"/>
    <w:next w:val="Normal"/>
    <w:semiHidden/>
    <w:rsid w:val="005E28A8"/>
    <w:pPr>
      <w:ind w:left="2268" w:hanging="2268"/>
    </w:pPr>
  </w:style>
  <w:style w:type="paragraph" w:styleId="ListBullet2">
    <w:name w:val="List Bullet 2"/>
    <w:basedOn w:val="ListBullet"/>
    <w:rsid w:val="005E28A8"/>
    <w:pPr>
      <w:numPr>
        <w:numId w:val="6"/>
      </w:numPr>
    </w:pPr>
  </w:style>
  <w:style w:type="paragraph" w:styleId="ListBullet">
    <w:name w:val="List Bullet"/>
    <w:basedOn w:val="BodyText"/>
    <w:rsid w:val="005E28A8"/>
    <w:pPr>
      <w:numPr>
        <w:numId w:val="5"/>
      </w:numPr>
    </w:pPr>
  </w:style>
  <w:style w:type="paragraph" w:styleId="ListBullet3">
    <w:name w:val="List Bullet 3"/>
    <w:basedOn w:val="ListBullet2"/>
    <w:rsid w:val="005E28A8"/>
    <w:pPr>
      <w:numPr>
        <w:numId w:val="7"/>
      </w:numPr>
    </w:pPr>
  </w:style>
  <w:style w:type="paragraph" w:customStyle="1" w:styleId="EQ">
    <w:name w:val="EQ"/>
    <w:basedOn w:val="Normal"/>
    <w:next w:val="Normal"/>
    <w:rsid w:val="005E28A8"/>
    <w:pPr>
      <w:keepLines/>
      <w:tabs>
        <w:tab w:val="center" w:pos="4536"/>
        <w:tab w:val="right" w:pos="9072"/>
      </w:tabs>
      <w:spacing w:after="180"/>
    </w:pPr>
    <w:rPr>
      <w:noProof/>
      <w:lang w:eastAsia="en-US"/>
    </w:rPr>
  </w:style>
  <w:style w:type="paragraph" w:styleId="List2">
    <w:name w:val="List 2"/>
    <w:basedOn w:val="List"/>
    <w:rsid w:val="005E28A8"/>
    <w:pPr>
      <w:ind w:left="851"/>
    </w:pPr>
  </w:style>
  <w:style w:type="paragraph" w:styleId="List3">
    <w:name w:val="List 3"/>
    <w:basedOn w:val="List2"/>
    <w:rsid w:val="005E28A8"/>
    <w:pPr>
      <w:ind w:left="1135"/>
    </w:pPr>
  </w:style>
  <w:style w:type="paragraph" w:styleId="List4">
    <w:name w:val="List 4"/>
    <w:basedOn w:val="List3"/>
    <w:rsid w:val="005E28A8"/>
    <w:pPr>
      <w:ind w:left="1418"/>
    </w:pPr>
  </w:style>
  <w:style w:type="paragraph" w:styleId="List5">
    <w:name w:val="List 5"/>
    <w:basedOn w:val="List4"/>
    <w:rsid w:val="005E28A8"/>
    <w:pPr>
      <w:ind w:left="1702"/>
    </w:pPr>
  </w:style>
  <w:style w:type="paragraph" w:customStyle="1" w:styleId="EditorsNote">
    <w:name w:val="Editor's Note"/>
    <w:basedOn w:val="Normal"/>
    <w:rsid w:val="005E28A8"/>
    <w:pPr>
      <w:keepLines/>
      <w:spacing w:after="180"/>
      <w:ind w:left="1135" w:hanging="851"/>
    </w:pPr>
    <w:rPr>
      <w:color w:val="FF0000"/>
      <w:lang w:eastAsia="en-US"/>
    </w:rPr>
  </w:style>
  <w:style w:type="paragraph" w:styleId="ListBullet4">
    <w:name w:val="List Bullet 4"/>
    <w:basedOn w:val="ListBullet3"/>
    <w:rsid w:val="005E28A8"/>
    <w:pPr>
      <w:numPr>
        <w:numId w:val="8"/>
      </w:numPr>
    </w:pPr>
  </w:style>
  <w:style w:type="paragraph" w:styleId="ListBullet5">
    <w:name w:val="List Bullet 5"/>
    <w:basedOn w:val="ListBullet4"/>
    <w:rsid w:val="005E28A8"/>
    <w:pPr>
      <w:numPr>
        <w:numId w:val="4"/>
      </w:numPr>
    </w:pPr>
  </w:style>
  <w:style w:type="paragraph" w:styleId="Footer">
    <w:name w:val="footer"/>
    <w:basedOn w:val="Header"/>
    <w:semiHidden/>
    <w:rsid w:val="005E28A8"/>
    <w:pPr>
      <w:jc w:val="center"/>
    </w:pPr>
    <w:rPr>
      <w:i/>
      <w:iCs/>
    </w:rPr>
  </w:style>
  <w:style w:type="paragraph" w:customStyle="1" w:styleId="Reference">
    <w:name w:val="Reference"/>
    <w:basedOn w:val="Normal"/>
    <w:rsid w:val="005E28A8"/>
    <w:pPr>
      <w:numPr>
        <w:numId w:val="2"/>
      </w:numPr>
    </w:pPr>
  </w:style>
  <w:style w:type="paragraph" w:styleId="BalloonText">
    <w:name w:val="Balloon Text"/>
    <w:basedOn w:val="Normal"/>
    <w:semiHidden/>
    <w:rsid w:val="005E28A8"/>
    <w:rPr>
      <w:rFonts w:ascii="Tahoma" w:hAnsi="Tahoma" w:cs="Tahoma"/>
      <w:sz w:val="16"/>
      <w:szCs w:val="16"/>
    </w:rPr>
  </w:style>
  <w:style w:type="character" w:styleId="PageNumber">
    <w:name w:val="page number"/>
    <w:basedOn w:val="DefaultParagraphFont"/>
    <w:semiHidden/>
    <w:rsid w:val="005E28A8"/>
  </w:style>
  <w:style w:type="paragraph" w:styleId="BodyText">
    <w:name w:val="Body Text"/>
    <w:basedOn w:val="Normal"/>
    <w:link w:val="BodyTextChar"/>
    <w:rsid w:val="00FB5670"/>
    <w:rPr>
      <w:rFonts w:cs="Arial"/>
    </w:rPr>
  </w:style>
  <w:style w:type="character" w:styleId="Hyperlink">
    <w:name w:val="Hyperlink"/>
    <w:uiPriority w:val="99"/>
    <w:rsid w:val="005E28A8"/>
    <w:rPr>
      <w:color w:val="0000FF"/>
      <w:u w:val="single"/>
      <w:lang w:val="en-GB"/>
    </w:rPr>
  </w:style>
  <w:style w:type="character" w:styleId="FollowedHyperlink">
    <w:name w:val="FollowedHyperlink"/>
    <w:semiHidden/>
    <w:rsid w:val="005E28A8"/>
    <w:rPr>
      <w:color w:val="FF0000"/>
      <w:u w:val="single"/>
    </w:rPr>
  </w:style>
  <w:style w:type="character" w:styleId="CommentReference">
    <w:name w:val="annotation reference"/>
    <w:semiHidden/>
    <w:rsid w:val="005E28A8"/>
    <w:rPr>
      <w:sz w:val="16"/>
      <w:szCs w:val="16"/>
    </w:rPr>
  </w:style>
  <w:style w:type="paragraph" w:styleId="CommentText">
    <w:name w:val="annotation text"/>
    <w:basedOn w:val="Normal"/>
    <w:semiHidden/>
    <w:rsid w:val="005E28A8"/>
  </w:style>
  <w:style w:type="paragraph" w:styleId="CommentSubject">
    <w:name w:val="annotation subject"/>
    <w:basedOn w:val="CommentText"/>
    <w:next w:val="CommentText"/>
    <w:semiHidden/>
    <w:rsid w:val="005E28A8"/>
    <w:rPr>
      <w:b/>
      <w:bCs/>
    </w:rPr>
  </w:style>
  <w:style w:type="character" w:customStyle="1" w:styleId="Heading1Char">
    <w:name w:val="Heading 1 Char"/>
    <w:link w:val="Heading1"/>
    <w:rsid w:val="005E28A8"/>
    <w:rPr>
      <w:rFonts w:ascii="Arial" w:hAnsi="Arial" w:cs="Arial"/>
      <w:sz w:val="36"/>
      <w:szCs w:val="36"/>
      <w:lang w:val="en-GB" w:eastAsia="zh-CN"/>
    </w:rPr>
  </w:style>
  <w:style w:type="paragraph" w:customStyle="1" w:styleId="B1">
    <w:name w:val="B1"/>
    <w:basedOn w:val="List"/>
    <w:rsid w:val="00FB5670"/>
    <w:pPr>
      <w:spacing w:after="180"/>
    </w:pPr>
    <w:rPr>
      <w:rFonts w:cs="Arial"/>
      <w:lang w:eastAsia="en-US"/>
    </w:rPr>
  </w:style>
  <w:style w:type="paragraph" w:customStyle="1" w:styleId="B2">
    <w:name w:val="B2"/>
    <w:basedOn w:val="List2"/>
    <w:rsid w:val="005E28A8"/>
    <w:pPr>
      <w:spacing w:after="180"/>
    </w:pPr>
    <w:rPr>
      <w:lang w:eastAsia="en-US"/>
    </w:rPr>
  </w:style>
  <w:style w:type="paragraph" w:customStyle="1" w:styleId="B3">
    <w:name w:val="B3"/>
    <w:basedOn w:val="List3"/>
    <w:rsid w:val="005E28A8"/>
    <w:pPr>
      <w:spacing w:after="180"/>
    </w:pPr>
    <w:rPr>
      <w:lang w:eastAsia="en-US"/>
    </w:rPr>
  </w:style>
  <w:style w:type="paragraph" w:customStyle="1" w:styleId="B4">
    <w:name w:val="B4"/>
    <w:basedOn w:val="List4"/>
    <w:rsid w:val="005E28A8"/>
    <w:pPr>
      <w:spacing w:after="180"/>
    </w:pPr>
    <w:rPr>
      <w:lang w:eastAsia="en-US"/>
    </w:rPr>
  </w:style>
  <w:style w:type="paragraph" w:customStyle="1" w:styleId="Proposal">
    <w:name w:val="Proposal"/>
    <w:basedOn w:val="Normal"/>
    <w:rsid w:val="005E28A8"/>
    <w:pPr>
      <w:numPr>
        <w:numId w:val="3"/>
      </w:numPr>
      <w:tabs>
        <w:tab w:val="clear" w:pos="1304"/>
        <w:tab w:val="left" w:pos="1701"/>
      </w:tabs>
      <w:ind w:left="1701" w:hanging="1701"/>
    </w:pPr>
    <w:rPr>
      <w:b/>
      <w:bCs/>
    </w:rPr>
  </w:style>
  <w:style w:type="character" w:customStyle="1" w:styleId="BodyTextChar">
    <w:name w:val="Body Text Char"/>
    <w:link w:val="BodyText"/>
    <w:rsid w:val="00FB5670"/>
    <w:rPr>
      <w:rFonts w:ascii="Arial" w:eastAsiaTheme="minorEastAsia" w:hAnsi="Arial" w:cs="Arial"/>
      <w:szCs w:val="22"/>
      <w:lang w:eastAsia="zh-CN"/>
    </w:rPr>
  </w:style>
  <w:style w:type="paragraph" w:customStyle="1" w:styleId="B5">
    <w:name w:val="B5"/>
    <w:basedOn w:val="List5"/>
    <w:rsid w:val="005E28A8"/>
    <w:pPr>
      <w:spacing w:after="180"/>
    </w:pPr>
    <w:rPr>
      <w:lang w:eastAsia="en-US"/>
    </w:rPr>
  </w:style>
  <w:style w:type="paragraph" w:customStyle="1" w:styleId="EX">
    <w:name w:val="EX"/>
    <w:basedOn w:val="Normal"/>
    <w:rsid w:val="005E28A8"/>
    <w:pPr>
      <w:keepLines/>
      <w:spacing w:after="180"/>
      <w:ind w:left="1702" w:hanging="1418"/>
    </w:pPr>
    <w:rPr>
      <w:lang w:eastAsia="en-US"/>
    </w:rPr>
  </w:style>
  <w:style w:type="paragraph" w:customStyle="1" w:styleId="EW">
    <w:name w:val="EW"/>
    <w:basedOn w:val="EX"/>
    <w:rsid w:val="005E28A8"/>
    <w:pPr>
      <w:spacing w:after="0"/>
    </w:pPr>
  </w:style>
  <w:style w:type="paragraph" w:customStyle="1" w:styleId="TAL">
    <w:name w:val="TAL"/>
    <w:basedOn w:val="Normal"/>
    <w:rsid w:val="005E28A8"/>
    <w:pPr>
      <w:keepNext/>
      <w:keepLines/>
      <w:spacing w:after="0"/>
    </w:pPr>
    <w:rPr>
      <w:sz w:val="18"/>
      <w:lang w:eastAsia="en-US"/>
    </w:rPr>
  </w:style>
  <w:style w:type="paragraph" w:customStyle="1" w:styleId="TAC">
    <w:name w:val="TAC"/>
    <w:basedOn w:val="TAL"/>
    <w:rsid w:val="005E28A8"/>
    <w:pPr>
      <w:jc w:val="center"/>
    </w:pPr>
  </w:style>
  <w:style w:type="paragraph" w:customStyle="1" w:styleId="TAH">
    <w:name w:val="TAH"/>
    <w:basedOn w:val="TAC"/>
    <w:rsid w:val="005E28A8"/>
    <w:rPr>
      <w:b/>
    </w:rPr>
  </w:style>
  <w:style w:type="paragraph" w:customStyle="1" w:styleId="TAN">
    <w:name w:val="TAN"/>
    <w:basedOn w:val="TAL"/>
    <w:rsid w:val="005E28A8"/>
    <w:pPr>
      <w:ind w:left="851" w:hanging="851"/>
    </w:pPr>
  </w:style>
  <w:style w:type="paragraph" w:customStyle="1" w:styleId="TAR">
    <w:name w:val="TAR"/>
    <w:basedOn w:val="TAL"/>
    <w:rsid w:val="005E28A8"/>
    <w:pPr>
      <w:jc w:val="right"/>
    </w:pPr>
  </w:style>
  <w:style w:type="paragraph" w:customStyle="1" w:styleId="TH">
    <w:name w:val="TH"/>
    <w:basedOn w:val="Normal"/>
    <w:rsid w:val="005E28A8"/>
    <w:pPr>
      <w:keepNext/>
      <w:keepLines/>
      <w:spacing w:before="60" w:after="180"/>
      <w:jc w:val="center"/>
    </w:pPr>
    <w:rPr>
      <w:b/>
      <w:lang w:eastAsia="en-US"/>
    </w:rPr>
  </w:style>
  <w:style w:type="paragraph" w:customStyle="1" w:styleId="TF">
    <w:name w:val="TF"/>
    <w:basedOn w:val="TH"/>
    <w:rsid w:val="005E28A8"/>
    <w:pPr>
      <w:keepNext w:val="0"/>
      <w:spacing w:before="0" w:after="240"/>
    </w:pPr>
  </w:style>
  <w:style w:type="paragraph" w:customStyle="1" w:styleId="TT">
    <w:name w:val="TT"/>
    <w:basedOn w:val="Heading1"/>
    <w:next w:val="Normal"/>
    <w:rsid w:val="005E28A8"/>
    <w:pPr>
      <w:numPr>
        <w:numId w:val="0"/>
      </w:numPr>
      <w:ind w:left="1134" w:hanging="1134"/>
      <w:outlineLvl w:val="9"/>
    </w:pPr>
    <w:rPr>
      <w:rFonts w:cs="Times New Roman"/>
      <w:szCs w:val="20"/>
      <w:lang w:eastAsia="en-US"/>
    </w:rPr>
  </w:style>
  <w:style w:type="paragraph" w:customStyle="1" w:styleId="ZA">
    <w:name w:val="ZA"/>
    <w:rsid w:val="005E28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28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28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E28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E28A8"/>
  </w:style>
  <w:style w:type="paragraph" w:customStyle="1" w:styleId="ZH">
    <w:name w:val="ZH"/>
    <w:rsid w:val="005E28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E28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E28A8"/>
    <w:pPr>
      <w:framePr w:hRule="auto" w:wrap="notBeside" w:y="852"/>
    </w:pPr>
    <w:rPr>
      <w:i w:val="0"/>
      <w:sz w:val="40"/>
    </w:rPr>
  </w:style>
  <w:style w:type="paragraph" w:customStyle="1" w:styleId="ZU">
    <w:name w:val="ZU"/>
    <w:rsid w:val="005E28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28A8"/>
    <w:pPr>
      <w:framePr w:wrap="notBeside" w:y="16161"/>
    </w:pPr>
  </w:style>
  <w:style w:type="paragraph" w:customStyle="1" w:styleId="FP">
    <w:name w:val="FP"/>
    <w:basedOn w:val="Normal"/>
    <w:rsid w:val="005E28A8"/>
    <w:pPr>
      <w:spacing w:after="0"/>
    </w:pPr>
    <w:rPr>
      <w:lang w:eastAsia="en-US"/>
    </w:rPr>
  </w:style>
  <w:style w:type="paragraph" w:customStyle="1" w:styleId="Observation">
    <w:name w:val="Observation"/>
    <w:basedOn w:val="Proposal"/>
    <w:qFormat/>
    <w:rsid w:val="00FB5670"/>
    <w:pPr>
      <w:numPr>
        <w:numId w:val="13"/>
      </w:numPr>
      <w:ind w:left="1701" w:hanging="1701"/>
    </w:pPr>
    <w:rPr>
      <w:rFonts w:cs="Arial"/>
    </w:rPr>
  </w:style>
  <w:style w:type="paragraph" w:styleId="TableofFigures">
    <w:name w:val="table of figures"/>
    <w:basedOn w:val="Normal"/>
    <w:next w:val="Normal"/>
    <w:uiPriority w:val="99"/>
    <w:rsid w:val="005E28A8"/>
    <w:pPr>
      <w:ind w:left="1418" w:hanging="1418"/>
    </w:pPr>
    <w:rPr>
      <w:b/>
    </w:rPr>
  </w:style>
  <w:style w:type="paragraph" w:customStyle="1" w:styleId="Doc-text2">
    <w:name w:val="Doc-text2"/>
    <w:basedOn w:val="Normal"/>
    <w:link w:val="Doc-text2Char"/>
    <w:qFormat/>
    <w:rsid w:val="005E28A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E28A8"/>
    <w:rPr>
      <w:rFonts w:ascii="Arial" w:eastAsia="MS Mincho" w:hAnsi="Arial"/>
      <w:szCs w:val="24"/>
      <w:lang w:val="en-GB" w:eastAsia="en-GB"/>
    </w:rPr>
  </w:style>
  <w:style w:type="paragraph" w:styleId="ListParagraph">
    <w:name w:val="List Paragraph"/>
    <w:basedOn w:val="Normal"/>
    <w:link w:val="ListParagraphChar"/>
    <w:uiPriority w:val="34"/>
    <w:qFormat/>
    <w:rsid w:val="00F14BA2"/>
    <w:pPr>
      <w:ind w:left="720"/>
      <w:contextualSpacing/>
    </w:pPr>
  </w:style>
  <w:style w:type="table" w:styleId="TableGrid">
    <w:name w:val="Table Grid"/>
    <w:basedOn w:val="TableNormal"/>
    <w:rsid w:val="003E021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E0210"/>
    <w:rPr>
      <w:rFonts w:ascii="Arial" w:hAnsi="Arial"/>
      <w:lang w:val="en-GB" w:eastAsia="zh-CN"/>
    </w:rPr>
  </w:style>
  <w:style w:type="paragraph" w:customStyle="1" w:styleId="ListParagraph1">
    <w:name w:val="List Paragraph1"/>
    <w:basedOn w:val="Normal"/>
    <w:link w:val="Char"/>
    <w:uiPriority w:val="34"/>
    <w:qFormat/>
    <w:rsid w:val="005723E7"/>
    <w:pPr>
      <w:spacing w:after="0"/>
      <w:ind w:left="720"/>
    </w:pPr>
    <w:rPr>
      <w:rFonts w:ascii="Calibri" w:eastAsia="Calibri" w:hAnsi="Calibri"/>
      <w:sz w:val="22"/>
      <w:lang w:eastAsia="en-US"/>
    </w:rPr>
  </w:style>
  <w:style w:type="character" w:customStyle="1" w:styleId="Char">
    <w:name w:val="목록 단락 Char"/>
    <w:link w:val="ListParagraph1"/>
    <w:uiPriority w:val="34"/>
    <w:qFormat/>
    <w:locked/>
    <w:rsid w:val="005723E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594533">
      <w:bodyDiv w:val="1"/>
      <w:marLeft w:val="0"/>
      <w:marRight w:val="0"/>
      <w:marTop w:val="0"/>
      <w:marBottom w:val="0"/>
      <w:divBdr>
        <w:top w:val="none" w:sz="0" w:space="0" w:color="auto"/>
        <w:left w:val="none" w:sz="0" w:space="0" w:color="auto"/>
        <w:bottom w:val="none" w:sz="0" w:space="0" w:color="auto"/>
        <w:right w:val="none" w:sz="0" w:space="0" w:color="auto"/>
      </w:divBdr>
    </w:div>
    <w:div w:id="8141063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4973788">
      <w:bodyDiv w:val="1"/>
      <w:marLeft w:val="0"/>
      <w:marRight w:val="0"/>
      <w:marTop w:val="0"/>
      <w:marBottom w:val="0"/>
      <w:divBdr>
        <w:top w:val="none" w:sz="0" w:space="0" w:color="auto"/>
        <w:left w:val="none" w:sz="0" w:space="0" w:color="auto"/>
        <w:bottom w:val="none" w:sz="0" w:space="0" w:color="auto"/>
        <w:right w:val="none" w:sz="0" w:space="0" w:color="auto"/>
      </w:divBdr>
    </w:div>
    <w:div w:id="20539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1038</Words>
  <Characters>5506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2017-05-04T17:09:00Z</dcterms:created>
  <dcterms:modified xsi:type="dcterms:W3CDTF">2017-05-06T18:57:00Z</dcterms:modified>
</cp:coreProperties>
</file>